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E7F5" w14:textId="77777777" w:rsidR="007C1155" w:rsidRPr="00F9743E" w:rsidRDefault="007C1155" w:rsidP="007C1155">
      <w:pPr>
        <w:spacing w:before="120" w:after="120"/>
        <w:jc w:val="center"/>
        <w:rPr>
          <w:rFonts w:asciiTheme="majorBidi" w:hAnsiTheme="majorBidi" w:cstheme="majorBidi"/>
          <w:b/>
          <w:bCs/>
          <w:smallCaps/>
          <w:sz w:val="24"/>
          <w:szCs w:val="24"/>
          <w:lang w:val="uk-UA"/>
        </w:rPr>
      </w:pPr>
      <w:r w:rsidRPr="00F9743E">
        <w:rPr>
          <w:rFonts w:asciiTheme="majorBidi" w:hAnsiTheme="majorBidi" w:cstheme="majorBidi"/>
          <w:b/>
          <w:bCs/>
          <w:smallCaps/>
          <w:sz w:val="24"/>
          <w:szCs w:val="24"/>
          <w:lang w:val="uk-UA"/>
        </w:rPr>
        <w:t>ТЕХНІЧНЕ ЗАВДАННЯ</w:t>
      </w:r>
    </w:p>
    <w:p w14:paraId="741E66EF" w14:textId="77777777" w:rsidR="007C1155" w:rsidRPr="00F9743E" w:rsidRDefault="007C1155" w:rsidP="007C1155">
      <w:pPr>
        <w:spacing w:before="120" w:after="120"/>
        <w:jc w:val="center"/>
        <w:rPr>
          <w:rFonts w:asciiTheme="majorBidi" w:hAnsiTheme="majorBidi" w:cstheme="majorBidi"/>
          <w:b/>
          <w:bCs/>
          <w:smallCaps/>
          <w:sz w:val="4"/>
          <w:szCs w:val="4"/>
          <w:lang w:val="uk-UA"/>
        </w:rPr>
      </w:pPr>
    </w:p>
    <w:p w14:paraId="4D5FE339" w14:textId="77777777" w:rsidR="007C1155" w:rsidRPr="00505196" w:rsidRDefault="007C1155" w:rsidP="007C1155">
      <w:pPr>
        <w:tabs>
          <w:tab w:val="left" w:pos="567"/>
        </w:tabs>
        <w:spacing w:before="120" w:after="120"/>
        <w:ind w:left="620" w:right="397"/>
        <w:jc w:val="center"/>
        <w:rPr>
          <w:b/>
          <w:sz w:val="24"/>
          <w:lang w:val="uk-UA"/>
        </w:rPr>
      </w:pPr>
      <w:r w:rsidRPr="00505196">
        <w:rPr>
          <w:b/>
          <w:sz w:val="24"/>
          <w:lang w:val="uk-UA"/>
        </w:rPr>
        <w:t xml:space="preserve">«e-AQUAF: </w:t>
      </w:r>
      <w:proofErr w:type="spellStart"/>
      <w:r w:rsidRPr="00505196">
        <w:rPr>
          <w:b/>
          <w:sz w:val="24"/>
          <w:lang w:val="uk-UA"/>
        </w:rPr>
        <w:t>Smart</w:t>
      </w:r>
      <w:proofErr w:type="spellEnd"/>
      <w:r w:rsidRPr="00505196">
        <w:rPr>
          <w:b/>
          <w:sz w:val="24"/>
          <w:lang w:val="uk-UA"/>
        </w:rPr>
        <w:t xml:space="preserve"> </w:t>
      </w:r>
      <w:proofErr w:type="spellStart"/>
      <w:r w:rsidRPr="00505196">
        <w:rPr>
          <w:b/>
          <w:sz w:val="24"/>
          <w:lang w:val="uk-UA"/>
        </w:rPr>
        <w:t>Aqua</w:t>
      </w:r>
      <w:proofErr w:type="spellEnd"/>
      <w:r w:rsidRPr="00505196">
        <w:rPr>
          <w:b/>
          <w:sz w:val="24"/>
          <w:lang w:val="uk-UA"/>
        </w:rPr>
        <w:t xml:space="preserve"> </w:t>
      </w:r>
      <w:proofErr w:type="spellStart"/>
      <w:r w:rsidRPr="00505196">
        <w:rPr>
          <w:b/>
          <w:sz w:val="24"/>
          <w:lang w:val="uk-UA"/>
        </w:rPr>
        <w:t>Farming</w:t>
      </w:r>
      <w:proofErr w:type="spellEnd"/>
      <w:r>
        <w:rPr>
          <w:b/>
          <w:sz w:val="24"/>
          <w:lang w:val="uk-UA"/>
        </w:rPr>
        <w:t xml:space="preserve"> / </w:t>
      </w:r>
      <w:r w:rsidRPr="00813B48">
        <w:rPr>
          <w:b/>
          <w:sz w:val="24"/>
          <w:lang w:val="uk-UA"/>
        </w:rPr>
        <w:t>e-AQUAF: Розумне</w:t>
      </w:r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аквафермерство</w:t>
      </w:r>
      <w:proofErr w:type="spellEnd"/>
      <w:r w:rsidRPr="00505196">
        <w:rPr>
          <w:b/>
          <w:sz w:val="24"/>
          <w:lang w:val="uk-UA"/>
        </w:rPr>
        <w:t>»</w:t>
      </w:r>
    </w:p>
    <w:p w14:paraId="729CDA0B" w14:textId="77777777" w:rsidR="007C1155" w:rsidRPr="00505196" w:rsidRDefault="007C1155" w:rsidP="007C1155">
      <w:pPr>
        <w:tabs>
          <w:tab w:val="left" w:pos="567"/>
        </w:tabs>
        <w:spacing w:before="120" w:after="120"/>
        <w:ind w:left="620" w:right="397"/>
        <w:jc w:val="center"/>
        <w:rPr>
          <w:b/>
          <w:sz w:val="24"/>
          <w:lang w:val="uk-UA"/>
        </w:rPr>
      </w:pPr>
    </w:p>
    <w:p w14:paraId="0665DE1F" w14:textId="77777777" w:rsidR="007C1155" w:rsidRPr="00750B13" w:rsidRDefault="007C1155" w:rsidP="007C1155">
      <w:pPr>
        <w:tabs>
          <w:tab w:val="left" w:pos="567"/>
        </w:tabs>
        <w:spacing w:before="120" w:after="120"/>
        <w:ind w:left="620" w:right="56"/>
        <w:jc w:val="center"/>
        <w:rPr>
          <w:b/>
          <w:sz w:val="24"/>
          <w:lang w:val="uk-UA"/>
        </w:rPr>
      </w:pPr>
      <w:r w:rsidRPr="00505196">
        <w:rPr>
          <w:b/>
          <w:sz w:val="24"/>
          <w:lang w:val="uk-UA"/>
        </w:rPr>
        <w:t xml:space="preserve">Послуги з організації поїздок та забезпечення участі у міжнародних заходах у межах проєкту e-AQUAF, що включають планування та координацію відряджень, </w:t>
      </w:r>
      <w:r>
        <w:rPr>
          <w:b/>
          <w:sz w:val="24"/>
          <w:lang w:val="uk-UA"/>
        </w:rPr>
        <w:t xml:space="preserve">логістичне </w:t>
      </w:r>
      <w:r w:rsidRPr="00505196">
        <w:rPr>
          <w:b/>
          <w:sz w:val="24"/>
          <w:lang w:val="uk-UA"/>
        </w:rPr>
        <w:t>забезпечення участі представників проєкту у партнерських зустрічах, заходах програми та інших релевантних подіях, покриття витрат на транспорт, проживання, добові, страхування та інші супутні витрати, необхідні для реалізації транскордонної співпраці в межах проєкту</w:t>
      </w:r>
      <w:r w:rsidRPr="00750B13">
        <w:rPr>
          <w:b/>
          <w:sz w:val="24"/>
          <w:lang w:val="uk-UA"/>
        </w:rPr>
        <w:t xml:space="preserve"> </w:t>
      </w:r>
      <w:r w:rsidRPr="00505196">
        <w:rPr>
          <w:b/>
          <w:sz w:val="24"/>
          <w:lang w:val="uk-UA"/>
        </w:rPr>
        <w:t>e-AQUAF</w:t>
      </w:r>
    </w:p>
    <w:p w14:paraId="75345682" w14:textId="77777777" w:rsidR="00E90392" w:rsidRPr="00A1665E" w:rsidRDefault="00E90392" w:rsidP="007C1155">
      <w:pPr>
        <w:tabs>
          <w:tab w:val="left" w:pos="567"/>
        </w:tabs>
        <w:spacing w:before="120" w:after="120"/>
        <w:ind w:right="397"/>
        <w:rPr>
          <w:b/>
          <w:sz w:val="24"/>
          <w:lang w:val="uk-UA"/>
        </w:rPr>
      </w:pPr>
    </w:p>
    <w:p w14:paraId="6D789267" w14:textId="71116876" w:rsidR="00596352" w:rsidRPr="00F9743E" w:rsidRDefault="00E47D21" w:rsidP="00C26F53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</w:pPr>
      <w:r w:rsidRPr="00F9743E"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ЗАГАЛЬНА ІНФОРМАЦІЯ</w:t>
      </w:r>
    </w:p>
    <w:p w14:paraId="128F456A" w14:textId="77777777" w:rsidR="007C1155" w:rsidRPr="007C1155" w:rsidRDefault="007C1155" w:rsidP="007C1155">
      <w:pPr>
        <w:pStyle w:val="ae"/>
        <w:spacing w:before="120" w:beforeAutospacing="0" w:after="0" w:afterAutospacing="0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 xml:space="preserve">Проєкт e-AQUAF – </w:t>
      </w:r>
      <w:proofErr w:type="spellStart"/>
      <w:r w:rsidRPr="007C1155">
        <w:rPr>
          <w:rFonts w:eastAsia="MS Mincho"/>
          <w:lang w:val="uk-UA" w:eastAsia="ja-JP"/>
        </w:rPr>
        <w:t>Smart</w:t>
      </w:r>
      <w:proofErr w:type="spellEnd"/>
      <w:r w:rsidRPr="007C1155">
        <w:rPr>
          <w:rFonts w:eastAsia="MS Mincho"/>
          <w:lang w:val="uk-UA" w:eastAsia="ja-JP"/>
        </w:rPr>
        <w:t xml:space="preserve"> </w:t>
      </w:r>
      <w:proofErr w:type="spellStart"/>
      <w:r w:rsidRPr="007C1155">
        <w:rPr>
          <w:rFonts w:eastAsia="MS Mincho"/>
          <w:lang w:val="uk-UA" w:eastAsia="ja-JP"/>
        </w:rPr>
        <w:t>Aqua</w:t>
      </w:r>
      <w:proofErr w:type="spellEnd"/>
      <w:r w:rsidRPr="007C1155">
        <w:rPr>
          <w:rFonts w:eastAsia="MS Mincho"/>
          <w:lang w:val="uk-UA" w:eastAsia="ja-JP"/>
        </w:rPr>
        <w:t xml:space="preserve"> </w:t>
      </w:r>
      <w:proofErr w:type="spellStart"/>
      <w:r w:rsidRPr="007C1155">
        <w:rPr>
          <w:rFonts w:eastAsia="MS Mincho"/>
          <w:lang w:val="uk-UA" w:eastAsia="ja-JP"/>
        </w:rPr>
        <w:t>Farming</w:t>
      </w:r>
      <w:proofErr w:type="spellEnd"/>
      <w:r w:rsidRPr="007C1155">
        <w:rPr>
          <w:rFonts w:eastAsia="MS Mincho"/>
          <w:lang w:val="uk-UA" w:eastAsia="ja-JP"/>
        </w:rPr>
        <w:t xml:space="preserve"> (Розумне </w:t>
      </w:r>
      <w:proofErr w:type="spellStart"/>
      <w:r w:rsidRPr="007C1155">
        <w:rPr>
          <w:rFonts w:eastAsia="MS Mincho"/>
          <w:lang w:val="uk-UA" w:eastAsia="ja-JP"/>
        </w:rPr>
        <w:t>аквакультурне</w:t>
      </w:r>
      <w:proofErr w:type="spellEnd"/>
      <w:r w:rsidRPr="007C1155">
        <w:rPr>
          <w:rFonts w:eastAsia="MS Mincho"/>
          <w:lang w:val="uk-UA" w:eastAsia="ja-JP"/>
        </w:rPr>
        <w:t xml:space="preserve"> виробництво) є транскордонною ініціативою, спрямованою на розвиток інноваційного, сталого та технологічно орієнтованого </w:t>
      </w:r>
      <w:proofErr w:type="spellStart"/>
      <w:r w:rsidRPr="007C1155">
        <w:rPr>
          <w:rFonts w:eastAsia="MS Mincho"/>
          <w:lang w:val="uk-UA" w:eastAsia="ja-JP"/>
        </w:rPr>
        <w:t>аквакультурного</w:t>
      </w:r>
      <w:proofErr w:type="spellEnd"/>
      <w:r w:rsidRPr="007C1155">
        <w:rPr>
          <w:rFonts w:eastAsia="MS Mincho"/>
          <w:lang w:val="uk-UA" w:eastAsia="ja-JP"/>
        </w:rPr>
        <w:t xml:space="preserve"> сектору в країнах Чорноморського регіону. Проєкт реалізується консорціумом партнерів із Румунії, Вірменії, Болгарії, Греції, Грузії та України, які об’єднали наукову, освітню, аналітичну та практичну експертизу з метою впровадження сучасних підходів до розвитку аквакультури, підвищення конкурентоспроможності сектору та посилення транскордонної співпраці.</w:t>
      </w:r>
    </w:p>
    <w:p w14:paraId="0970DD12" w14:textId="77777777" w:rsidR="007C1155" w:rsidRPr="007C1155" w:rsidRDefault="007C1155" w:rsidP="007C1155">
      <w:pPr>
        <w:pStyle w:val="ae"/>
        <w:spacing w:before="120" w:beforeAutospacing="0" w:after="0" w:afterAutospacing="0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 xml:space="preserve">Головною метою проєкту є підвищення ефективності, сталості та інноваційного потенціалу </w:t>
      </w:r>
      <w:proofErr w:type="spellStart"/>
      <w:r w:rsidRPr="007C1155">
        <w:rPr>
          <w:rFonts w:eastAsia="MS Mincho"/>
          <w:lang w:val="uk-UA" w:eastAsia="ja-JP"/>
        </w:rPr>
        <w:t>аквакультурного</w:t>
      </w:r>
      <w:proofErr w:type="spellEnd"/>
      <w:r w:rsidRPr="007C1155">
        <w:rPr>
          <w:rFonts w:eastAsia="MS Mincho"/>
          <w:lang w:val="uk-UA" w:eastAsia="ja-JP"/>
        </w:rPr>
        <w:t xml:space="preserve"> сектору шляхом впровадження сучасних технологій, інструментів цифрового аналізу, систем моніторингу, а також розвитку підприємницьких і професійних компетенцій у галузі аквакультури.</w:t>
      </w:r>
    </w:p>
    <w:p w14:paraId="5A47CA56" w14:textId="77777777" w:rsidR="007C1155" w:rsidRPr="007C1155" w:rsidRDefault="007C1155" w:rsidP="007C1155">
      <w:pPr>
        <w:pStyle w:val="ae"/>
        <w:spacing w:before="120" w:beforeAutospacing="0" w:after="0" w:afterAutospacing="0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 xml:space="preserve">У межах проєкту передбачається реалізація комплексу взаємопов’язаних заходів, зокрема проведення досліджень, </w:t>
      </w:r>
      <w:proofErr w:type="spellStart"/>
      <w:r w:rsidRPr="007C1155">
        <w:rPr>
          <w:rFonts w:eastAsia="MS Mincho"/>
          <w:lang w:val="uk-UA" w:eastAsia="ja-JP"/>
        </w:rPr>
        <w:t>мапування</w:t>
      </w:r>
      <w:proofErr w:type="spellEnd"/>
      <w:r w:rsidRPr="007C1155">
        <w:rPr>
          <w:rFonts w:eastAsia="MS Mincho"/>
          <w:lang w:val="uk-UA" w:eastAsia="ja-JP"/>
        </w:rPr>
        <w:t xml:space="preserve"> </w:t>
      </w:r>
      <w:proofErr w:type="spellStart"/>
      <w:r w:rsidRPr="007C1155">
        <w:rPr>
          <w:rFonts w:eastAsia="MS Mincho"/>
          <w:lang w:val="uk-UA" w:eastAsia="ja-JP"/>
        </w:rPr>
        <w:t>стейкхолдерів</w:t>
      </w:r>
      <w:proofErr w:type="spellEnd"/>
      <w:r w:rsidRPr="007C1155">
        <w:rPr>
          <w:rFonts w:eastAsia="MS Mincho"/>
          <w:lang w:val="uk-UA" w:eastAsia="ja-JP"/>
        </w:rPr>
        <w:t>, розробка інноваційної цифрової платформи, впровадження систем моніторингу, організація навчальних програм, тренінгів, міжнародних заходів та забезпечення сталого обміну знаннями між країнами-партнерами.</w:t>
      </w:r>
    </w:p>
    <w:p w14:paraId="6124B5B3" w14:textId="77777777" w:rsidR="007C1155" w:rsidRPr="007C1155" w:rsidRDefault="007C1155" w:rsidP="007C1155">
      <w:pPr>
        <w:pStyle w:val="ae"/>
        <w:spacing w:before="120" w:beforeAutospacing="0" w:after="0" w:afterAutospacing="0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 xml:space="preserve">Ключовою передумовою ефективної реалізації проєкту є забезпечення системної транскордонної взаємодії між партнерами, що включає регулярну участь представників консорціуму у міжнародних зустрічах, партнерських заходах, подіях програми, навчальних візитах та інших релевантних </w:t>
      </w:r>
      <w:proofErr w:type="spellStart"/>
      <w:r w:rsidRPr="007C1155">
        <w:rPr>
          <w:rFonts w:eastAsia="MS Mincho"/>
          <w:lang w:val="uk-UA" w:eastAsia="ja-JP"/>
        </w:rPr>
        <w:t>активностях</w:t>
      </w:r>
      <w:proofErr w:type="spellEnd"/>
      <w:r w:rsidRPr="007C1155">
        <w:rPr>
          <w:rFonts w:eastAsia="MS Mincho"/>
          <w:lang w:val="uk-UA" w:eastAsia="ja-JP"/>
        </w:rPr>
        <w:t>. Такі заходи забезпечують координацію дій партнерів, обмін досвідом, узгодження підходів до реалізації проєкту та досягнення його результатів.</w:t>
      </w:r>
    </w:p>
    <w:p w14:paraId="49F3E865" w14:textId="77777777" w:rsidR="007C1155" w:rsidRPr="007C1155" w:rsidRDefault="007C1155" w:rsidP="007C1155">
      <w:pPr>
        <w:pStyle w:val="ae"/>
        <w:spacing w:before="120" w:beforeAutospacing="0" w:after="0" w:afterAutospacing="0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>У цьому контексті виникає необхідність у належному організаційному та логістичному забезпеченні участі представників проєкту у зазначених заходах відповідно до вимог програми та умов реалізації транскордонної співпраці.</w:t>
      </w:r>
    </w:p>
    <w:p w14:paraId="52DE3C9F" w14:textId="54801DF8" w:rsidR="007C1155" w:rsidRDefault="007C1155" w:rsidP="007C1155">
      <w:pPr>
        <w:pStyle w:val="ae"/>
        <w:spacing w:before="120" w:beforeAutospacing="0" w:after="0" w:afterAutospacing="0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>Саме тому в межах даної закупівлі передбачається залучення виконавця для надання послуг з організації поїздок та забезпечення участі у міжнародних заходах у межах проєкту e-AQUAF, що включають планування та координацію відряджень, логістичне забезпечення участі представників проєкту у партнерських зустрічах, заходах програми та інших релевантних подіях, покриття витрат на транспорт, проживання, добові, страхування та інші супутні витрати, необхідні для реалізації транскордонної співпраці в межах проєкту e-AQUAF.</w:t>
      </w:r>
    </w:p>
    <w:p w14:paraId="70FE7C40" w14:textId="77777777" w:rsidR="007C1155" w:rsidRPr="00F9743E" w:rsidRDefault="007C1155" w:rsidP="007C1155">
      <w:pPr>
        <w:pStyle w:val="ae"/>
        <w:spacing w:before="120" w:beforeAutospacing="0" w:after="0" w:afterAutospacing="0"/>
        <w:jc w:val="both"/>
        <w:rPr>
          <w:rFonts w:eastAsia="MS Mincho"/>
          <w:lang w:val="uk-UA" w:eastAsia="ja-JP"/>
        </w:rPr>
      </w:pPr>
    </w:p>
    <w:p w14:paraId="170216BA" w14:textId="3803CC7A" w:rsidR="000C2A0F" w:rsidRPr="000C2A0F" w:rsidRDefault="00E22DFB" w:rsidP="000C2A0F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eastAsia="Times New Roman" w:hAnsi="Times New Roman" w:cs="Times New Roman"/>
          <w:smallCap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МЕТА</w:t>
      </w:r>
    </w:p>
    <w:p w14:paraId="4F6103E2" w14:textId="7E341555" w:rsidR="007C1155" w:rsidRPr="007C1155" w:rsidRDefault="007C1155" w:rsidP="007C1155">
      <w:pPr>
        <w:pStyle w:val="ae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 xml:space="preserve">Основною метою цієї закупівлі є забезпечення належного організаційного, логістичного та адміністративного супроводу участі представників проєкту у міжнародних заходах у межах реалізації проєкту e-AQUAF – </w:t>
      </w:r>
      <w:proofErr w:type="spellStart"/>
      <w:r w:rsidRPr="007C1155">
        <w:rPr>
          <w:rFonts w:eastAsia="MS Mincho"/>
          <w:lang w:val="uk-UA" w:eastAsia="ja-JP"/>
        </w:rPr>
        <w:t>Smart</w:t>
      </w:r>
      <w:proofErr w:type="spellEnd"/>
      <w:r w:rsidRPr="007C1155">
        <w:rPr>
          <w:rFonts w:eastAsia="MS Mincho"/>
          <w:lang w:val="uk-UA" w:eastAsia="ja-JP"/>
        </w:rPr>
        <w:t xml:space="preserve"> </w:t>
      </w:r>
      <w:proofErr w:type="spellStart"/>
      <w:r w:rsidRPr="007C1155">
        <w:rPr>
          <w:rFonts w:eastAsia="MS Mincho"/>
          <w:lang w:val="uk-UA" w:eastAsia="ja-JP"/>
        </w:rPr>
        <w:t>Aqua</w:t>
      </w:r>
      <w:proofErr w:type="spellEnd"/>
      <w:r w:rsidRPr="007C1155">
        <w:rPr>
          <w:rFonts w:eastAsia="MS Mincho"/>
          <w:lang w:val="uk-UA" w:eastAsia="ja-JP"/>
        </w:rPr>
        <w:t xml:space="preserve"> </w:t>
      </w:r>
      <w:proofErr w:type="spellStart"/>
      <w:r w:rsidRPr="007C1155">
        <w:rPr>
          <w:rFonts w:eastAsia="MS Mincho"/>
          <w:lang w:val="uk-UA" w:eastAsia="ja-JP"/>
        </w:rPr>
        <w:t>Farming</w:t>
      </w:r>
      <w:proofErr w:type="spellEnd"/>
      <w:r w:rsidRPr="007C1155">
        <w:rPr>
          <w:rFonts w:eastAsia="MS Mincho"/>
          <w:lang w:val="uk-UA" w:eastAsia="ja-JP"/>
        </w:rPr>
        <w:t xml:space="preserve"> (Розумне </w:t>
      </w:r>
      <w:proofErr w:type="spellStart"/>
      <w:r>
        <w:rPr>
          <w:rFonts w:eastAsia="MS Mincho"/>
          <w:lang w:val="uk-UA" w:eastAsia="ja-JP"/>
        </w:rPr>
        <w:t>аквафермерство</w:t>
      </w:r>
      <w:proofErr w:type="spellEnd"/>
      <w:r w:rsidRPr="007C1155">
        <w:rPr>
          <w:rFonts w:eastAsia="MS Mincho"/>
          <w:lang w:val="uk-UA" w:eastAsia="ja-JP"/>
        </w:rPr>
        <w:t>).</w:t>
      </w:r>
    </w:p>
    <w:p w14:paraId="1A931B44" w14:textId="39F52E80" w:rsidR="007C1155" w:rsidRPr="007C1155" w:rsidRDefault="007C1155" w:rsidP="007C1155">
      <w:pPr>
        <w:pStyle w:val="ae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lastRenderedPageBreak/>
        <w:t xml:space="preserve">Закупівля спрямована на створення умов для своєчасної, ефективної та безперешкодної участі представників </w:t>
      </w:r>
      <w:r>
        <w:rPr>
          <w:rFonts w:eastAsia="MS Mincho"/>
          <w:lang w:val="uk-UA" w:eastAsia="ja-JP"/>
        </w:rPr>
        <w:t>проєкту</w:t>
      </w:r>
      <w:r w:rsidRPr="007C1155">
        <w:rPr>
          <w:rFonts w:eastAsia="MS Mincho"/>
          <w:lang w:val="uk-UA" w:eastAsia="ja-JP"/>
        </w:rPr>
        <w:t xml:space="preserve"> у партнерських зустрічах, заходах програми </w:t>
      </w:r>
      <w:proofErr w:type="spellStart"/>
      <w:r w:rsidRPr="007C1155">
        <w:rPr>
          <w:rFonts w:eastAsia="MS Mincho"/>
          <w:lang w:val="uk-UA" w:eastAsia="ja-JP"/>
        </w:rPr>
        <w:t>Interreg</w:t>
      </w:r>
      <w:proofErr w:type="spellEnd"/>
      <w:r w:rsidRPr="007C1155">
        <w:rPr>
          <w:rFonts w:eastAsia="MS Mincho"/>
          <w:lang w:val="uk-UA" w:eastAsia="ja-JP"/>
        </w:rPr>
        <w:t xml:space="preserve">, навчальних візитах, публічних подіях та інших релевантних </w:t>
      </w:r>
      <w:proofErr w:type="spellStart"/>
      <w:r w:rsidRPr="007C1155">
        <w:rPr>
          <w:rFonts w:eastAsia="MS Mincho"/>
          <w:lang w:val="uk-UA" w:eastAsia="ja-JP"/>
        </w:rPr>
        <w:t>активностях</w:t>
      </w:r>
      <w:proofErr w:type="spellEnd"/>
      <w:r w:rsidRPr="007C1155">
        <w:rPr>
          <w:rFonts w:eastAsia="MS Mincho"/>
          <w:lang w:val="uk-UA" w:eastAsia="ja-JP"/>
        </w:rPr>
        <w:t>, що є невід’ємною складовою транскордонної співпраці та досягнення запланованих результатів проєкту.</w:t>
      </w:r>
    </w:p>
    <w:p w14:paraId="6432AF6C" w14:textId="618BD2A2" w:rsidR="007C1155" w:rsidRPr="007C1155" w:rsidRDefault="007C1155" w:rsidP="007C1155">
      <w:pPr>
        <w:pStyle w:val="ae"/>
        <w:jc w:val="both"/>
        <w:rPr>
          <w:rFonts w:eastAsia="MS Mincho"/>
          <w:lang w:val="uk-UA" w:eastAsia="ja-JP"/>
        </w:rPr>
      </w:pPr>
      <w:r w:rsidRPr="007C1155">
        <w:rPr>
          <w:rFonts w:eastAsia="MS Mincho"/>
          <w:lang w:val="uk-UA" w:eastAsia="ja-JP"/>
        </w:rPr>
        <w:t>У межах досягнення цієї мети передбачається забезпечення повного циклу послуг, пов’язаних з організацією відряджень, включаючи планування та координацію поїздок, логістичне забезпечення (транспорт, проживання), організацію виплати добових, страхування, а також покриття інших супутніх витрат відповідно до вимог проєкту та правил програми.</w:t>
      </w:r>
    </w:p>
    <w:p w14:paraId="20416023" w14:textId="77777777" w:rsidR="003E73DF" w:rsidRPr="00A60B20" w:rsidRDefault="003E73DF" w:rsidP="00F1205E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</w:p>
    <w:p w14:paraId="1783F122" w14:textId="1CAABFC7" w:rsidR="00596352" w:rsidRPr="00F9743E" w:rsidRDefault="00045C8C" w:rsidP="00C26F53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ДЕТАЛІ ЗАКУПІВЛІ</w:t>
      </w:r>
    </w:p>
    <w:p w14:paraId="59E1595E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 xml:space="preserve">До предмета закупівлі входить надання послуг з організації поїздок та забезпечення участі у міжнародних заходах у межах проєкту e-AQUAF – </w:t>
      </w:r>
      <w:proofErr w:type="spellStart"/>
      <w:r w:rsidRPr="007C1155">
        <w:rPr>
          <w:lang w:val="uk-UA"/>
        </w:rPr>
        <w:t>Smart</w:t>
      </w:r>
      <w:proofErr w:type="spellEnd"/>
      <w:r w:rsidRPr="007C1155">
        <w:rPr>
          <w:lang w:val="uk-UA"/>
        </w:rPr>
        <w:t xml:space="preserve"> </w:t>
      </w:r>
      <w:proofErr w:type="spellStart"/>
      <w:r w:rsidRPr="007C1155">
        <w:rPr>
          <w:lang w:val="uk-UA"/>
        </w:rPr>
        <w:t>Aqua</w:t>
      </w:r>
      <w:proofErr w:type="spellEnd"/>
      <w:r w:rsidRPr="007C1155">
        <w:rPr>
          <w:lang w:val="uk-UA"/>
        </w:rPr>
        <w:t xml:space="preserve"> </w:t>
      </w:r>
      <w:proofErr w:type="spellStart"/>
      <w:r w:rsidRPr="007C1155">
        <w:rPr>
          <w:lang w:val="uk-UA"/>
        </w:rPr>
        <w:t>Farming</w:t>
      </w:r>
      <w:proofErr w:type="spellEnd"/>
      <w:r w:rsidRPr="007C1155">
        <w:rPr>
          <w:lang w:val="uk-UA"/>
        </w:rPr>
        <w:t xml:space="preserve"> (Розумне </w:t>
      </w:r>
      <w:proofErr w:type="spellStart"/>
      <w:r w:rsidRPr="007C1155">
        <w:rPr>
          <w:lang w:val="uk-UA"/>
        </w:rPr>
        <w:t>аквакультурне</w:t>
      </w:r>
      <w:proofErr w:type="spellEnd"/>
      <w:r w:rsidRPr="007C1155">
        <w:rPr>
          <w:lang w:val="uk-UA"/>
        </w:rPr>
        <w:t xml:space="preserve"> виробництво).</w:t>
      </w:r>
    </w:p>
    <w:p w14:paraId="4A6FD736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 xml:space="preserve">Зазначені послуги передбачають комплексне планування, координацію та реалізацію відряджень представників проєкту, а також забезпечення їх участі у партнерських зустрічах, заходах програми </w:t>
      </w:r>
      <w:proofErr w:type="spellStart"/>
      <w:r w:rsidRPr="007C1155">
        <w:rPr>
          <w:lang w:val="uk-UA"/>
        </w:rPr>
        <w:t>Interreg</w:t>
      </w:r>
      <w:proofErr w:type="spellEnd"/>
      <w:r w:rsidRPr="007C1155">
        <w:rPr>
          <w:lang w:val="uk-UA"/>
        </w:rPr>
        <w:t>, навчальних візитах, публічних заходах та інших релевантних міжнародних подіях.</w:t>
      </w:r>
    </w:p>
    <w:p w14:paraId="7BEAC093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Послуги мають включати повний цикл організаційного та логістичного супроводу, включно з бронюванням транспорту та проживання, організацією виплати добових, страхуванням, а також покриттям інших супутніх витрат, необхідних для належної участі у заходах, відповідно до вимог програми та фінансових правил проєкту.</w:t>
      </w:r>
    </w:p>
    <w:p w14:paraId="054033C0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Основні складові послуг:</w:t>
      </w:r>
    </w:p>
    <w:p w14:paraId="0B0E0BEB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1. Планування та координація відряджень</w:t>
      </w:r>
    </w:p>
    <w:p w14:paraId="5A2C135B" w14:textId="08B4E581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аналіз потреб проєкту щодо участі у міжнародних заходах відповідно до календарного плану реалізації проєкту;</w:t>
      </w:r>
    </w:p>
    <w:p w14:paraId="67EF6C5D" w14:textId="2DE61F36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формування оптимальних маршрутів поїздок з урахуванням часових, фінансових та логістичних обмежень;</w:t>
      </w:r>
    </w:p>
    <w:p w14:paraId="671D119C" w14:textId="70482744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узгодження дат, тривалості відряджень та складу учасників;</w:t>
      </w:r>
    </w:p>
    <w:p w14:paraId="6139881A" w14:textId="1B1754F1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координація із залученими сторонами (організатори заходів, партнери проєкту, постачальники послуг);</w:t>
      </w:r>
    </w:p>
    <w:p w14:paraId="77274600" w14:textId="69225121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забезпечення своєчасного бронювання та підтвердження всіх необхідних послуг.</w:t>
      </w:r>
    </w:p>
    <w:p w14:paraId="24CFE15D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2. Організація транспортного забезпечення</w:t>
      </w:r>
    </w:p>
    <w:p w14:paraId="2B52AD96" w14:textId="2E849489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підбір та бронювання міжнародного та внутрішнього транспорту (авіа, залізничного, автобусного, автомобільного);</w:t>
      </w:r>
    </w:p>
    <w:p w14:paraId="1DDA173B" w14:textId="381E1988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забезпечення оптимального співвідношення вартості, тривалості та зручності маршрутів;</w:t>
      </w:r>
    </w:p>
    <w:p w14:paraId="52B9EDB3" w14:textId="75C63917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організація трансферів (аеропорт – готель – місце проведення заходу);</w:t>
      </w:r>
    </w:p>
    <w:p w14:paraId="41E0DFDE" w14:textId="50891A85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 xml:space="preserve">супровід змін у </w:t>
      </w:r>
      <w:proofErr w:type="spellStart"/>
      <w:r w:rsidRPr="007C1155">
        <w:rPr>
          <w:lang w:val="uk-UA"/>
        </w:rPr>
        <w:t>бронюваннях</w:t>
      </w:r>
      <w:proofErr w:type="spellEnd"/>
      <w:r w:rsidRPr="007C1155">
        <w:rPr>
          <w:lang w:val="uk-UA"/>
        </w:rPr>
        <w:t xml:space="preserve"> (переноси, скасування, коригування маршрутів);</w:t>
      </w:r>
    </w:p>
    <w:p w14:paraId="6AF91A71" w14:textId="36CB4133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забезпечення наявності всіх необхідних проїзних документів.</w:t>
      </w:r>
    </w:p>
    <w:p w14:paraId="7178563C" w14:textId="77777777" w:rsidR="007C1155" w:rsidRPr="007C1155" w:rsidRDefault="007C1155" w:rsidP="007C1155">
      <w:pPr>
        <w:pStyle w:val="ae"/>
        <w:jc w:val="both"/>
        <w:rPr>
          <w:lang w:val="uk-UA"/>
        </w:rPr>
      </w:pPr>
    </w:p>
    <w:p w14:paraId="30913F4C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lastRenderedPageBreak/>
        <w:t>3. Організація проживання</w:t>
      </w:r>
    </w:p>
    <w:p w14:paraId="6945BBEE" w14:textId="6E757C74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підбір та бронювання готелів відповідного рівня з урахуванням вимог проєкту та бюджету;</w:t>
      </w:r>
    </w:p>
    <w:p w14:paraId="33479A6A" w14:textId="7B679506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забезпечення відповідності розміщення логістичним потребам (близькість до місця проведення заходів, транспортна доступність);</w:t>
      </w:r>
    </w:p>
    <w:p w14:paraId="5CFB9F23" w14:textId="4FCCFEFD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координація умов проживання (дати, кількість ночей, типи номерів);</w:t>
      </w:r>
    </w:p>
    <w:p w14:paraId="06B92DF4" w14:textId="063D1B67" w:rsidR="007C1155" w:rsidRPr="00431D0C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вирішення організаційних питань під час перебування учасників.</w:t>
      </w:r>
    </w:p>
    <w:p w14:paraId="5B08AC73" w14:textId="7150E9CC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4. Забезпечення добових та супутніх витрат</w:t>
      </w:r>
    </w:p>
    <w:p w14:paraId="76CCAB64" w14:textId="4E8E69F4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організація виплати добових відповідно до затверджених норм та правил програми;</w:t>
      </w:r>
    </w:p>
    <w:p w14:paraId="24D7FF96" w14:textId="7C23DC55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покриття витрат на харчування, локальний транспорт та інші витрати, пов’язані з відрядженням;</w:t>
      </w:r>
    </w:p>
    <w:p w14:paraId="0D74D278" w14:textId="5A47E52B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 xml:space="preserve">забезпечення відповідності витрат фінансовим вимогам проєкту та правилам </w:t>
      </w:r>
      <w:proofErr w:type="spellStart"/>
      <w:r w:rsidRPr="007C1155">
        <w:rPr>
          <w:lang w:val="uk-UA"/>
        </w:rPr>
        <w:t>Interreg</w:t>
      </w:r>
      <w:proofErr w:type="spellEnd"/>
      <w:r w:rsidRPr="007C1155">
        <w:rPr>
          <w:lang w:val="uk-UA"/>
        </w:rPr>
        <w:t>;</w:t>
      </w:r>
    </w:p>
    <w:p w14:paraId="035BFD69" w14:textId="64B6F648" w:rsidR="007C1155" w:rsidRPr="00431D0C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ведення обліку витрат та підготовка підтверджуючих документів.</w:t>
      </w:r>
    </w:p>
    <w:p w14:paraId="7C57848B" w14:textId="5A131241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5. Організація страхування</w:t>
      </w:r>
    </w:p>
    <w:p w14:paraId="4484C4CD" w14:textId="5840505D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забезпечення оформлення медичного та, за потреби, додаткового страхування для учасників відряджень;</w:t>
      </w:r>
    </w:p>
    <w:p w14:paraId="347ED380" w14:textId="3657F340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відповідність страхових полісів вимогам країн перебування та умовам поїздок;</w:t>
      </w:r>
    </w:p>
    <w:p w14:paraId="7BE01E71" w14:textId="43D0A36C" w:rsidR="007C1155" w:rsidRPr="00431D0C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контроль строків дії страхування та його покриття.</w:t>
      </w:r>
    </w:p>
    <w:p w14:paraId="7E32827D" w14:textId="361A3B94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6. Адміністративний супровід участі у заходах</w:t>
      </w:r>
    </w:p>
    <w:p w14:paraId="72C4F8AF" w14:textId="4F229E77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 xml:space="preserve">забезпечення реєстрації учасників на </w:t>
      </w:r>
      <w:r w:rsidR="00431D0C">
        <w:rPr>
          <w:lang w:val="uk-UA"/>
        </w:rPr>
        <w:t>рейси</w:t>
      </w:r>
      <w:r w:rsidRPr="007C1155">
        <w:rPr>
          <w:lang w:val="uk-UA"/>
        </w:rPr>
        <w:t>;</w:t>
      </w:r>
    </w:p>
    <w:p w14:paraId="09853469" w14:textId="6780ECA0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координація з організаторами подій щодо участі представників проєкту</w:t>
      </w:r>
      <w:r w:rsidR="00431D0C">
        <w:rPr>
          <w:lang w:val="uk-UA"/>
        </w:rPr>
        <w:t xml:space="preserve"> (за необхідності)</w:t>
      </w:r>
      <w:r w:rsidRPr="007C1155">
        <w:rPr>
          <w:lang w:val="uk-UA"/>
        </w:rPr>
        <w:t>;</w:t>
      </w:r>
    </w:p>
    <w:p w14:paraId="563843BC" w14:textId="53D5E6A6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інформаційний супровід учасників (програми заходів, логістика, контакти);</w:t>
      </w:r>
    </w:p>
    <w:p w14:paraId="4A1BE6E5" w14:textId="3757049E" w:rsidR="007C1155" w:rsidRPr="00431D0C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підтримка учасників під час поїздок (у разі змін, форс-мажорів або додаткових потреб).</w:t>
      </w:r>
    </w:p>
    <w:p w14:paraId="2B75AAB9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7. Фінансово-документальний супровід</w:t>
      </w:r>
    </w:p>
    <w:p w14:paraId="4D4CBB0A" w14:textId="0173E4F3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збір, систематизація та надання підтверджуючих документів (квитки, рахунки, чеки, інвойси);</w:t>
      </w:r>
    </w:p>
    <w:p w14:paraId="13B04208" w14:textId="5622F1AD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підготовка звітної документації відповідно до вимог проєкту та програми;</w:t>
      </w:r>
    </w:p>
    <w:p w14:paraId="6BE1E6C0" w14:textId="159E6AEB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 xml:space="preserve">забезпечення прозорості, обґрунтованості та </w:t>
      </w:r>
      <w:proofErr w:type="spellStart"/>
      <w:r w:rsidRPr="007C1155">
        <w:rPr>
          <w:lang w:val="uk-UA"/>
        </w:rPr>
        <w:t>підтверджуваності</w:t>
      </w:r>
      <w:proofErr w:type="spellEnd"/>
      <w:r w:rsidRPr="007C1155">
        <w:rPr>
          <w:lang w:val="uk-UA"/>
        </w:rPr>
        <w:t xml:space="preserve"> витрат;</w:t>
      </w:r>
    </w:p>
    <w:p w14:paraId="3D553C9A" w14:textId="7496164F" w:rsidR="007C1155" w:rsidRPr="00431D0C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 xml:space="preserve">підтримка </w:t>
      </w:r>
      <w:r w:rsidR="00431D0C">
        <w:rPr>
          <w:lang w:val="uk-UA"/>
        </w:rPr>
        <w:t>проєктної команди на етапі звітування, надання необхідної інформації та документів за запитом</w:t>
      </w:r>
      <w:r w:rsidRPr="007C1155">
        <w:rPr>
          <w:lang w:val="uk-UA"/>
        </w:rPr>
        <w:t>.</w:t>
      </w:r>
    </w:p>
    <w:p w14:paraId="0A02AEA0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Очікуваний результат:</w:t>
      </w:r>
    </w:p>
    <w:p w14:paraId="101D2EFC" w14:textId="77777777" w:rsidR="007C1155" w:rsidRPr="007C1155" w:rsidRDefault="007C1155" w:rsidP="007C1155">
      <w:pPr>
        <w:pStyle w:val="ae"/>
        <w:jc w:val="both"/>
        <w:rPr>
          <w:lang w:val="uk-UA"/>
        </w:rPr>
      </w:pPr>
      <w:r w:rsidRPr="007C1155">
        <w:rPr>
          <w:lang w:val="uk-UA"/>
        </w:rPr>
        <w:t>У результаті надання послуг має бути забезпечено:</w:t>
      </w:r>
    </w:p>
    <w:p w14:paraId="7F5080D0" w14:textId="42C7C917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своєчасну та ефективну організацію відряджень представників проєкту відповідно до плану реалізації заходів;</w:t>
      </w:r>
    </w:p>
    <w:p w14:paraId="4E6A9F07" w14:textId="1BE2547A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 xml:space="preserve">безперебійну участь представників проєкту у міжнародних заходах, зустрічах та </w:t>
      </w:r>
      <w:proofErr w:type="spellStart"/>
      <w:r w:rsidRPr="007C1155">
        <w:rPr>
          <w:lang w:val="uk-UA"/>
        </w:rPr>
        <w:t>активностях</w:t>
      </w:r>
      <w:proofErr w:type="spellEnd"/>
      <w:r w:rsidRPr="007C1155">
        <w:rPr>
          <w:lang w:val="uk-UA"/>
        </w:rPr>
        <w:t>;</w:t>
      </w:r>
    </w:p>
    <w:p w14:paraId="6B63A5EF" w14:textId="54CF7D79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 xml:space="preserve">повне логістичне та адміністративне забезпечення участі відповідно до вимог програми </w:t>
      </w:r>
      <w:proofErr w:type="spellStart"/>
      <w:r w:rsidRPr="007C1155">
        <w:rPr>
          <w:lang w:val="uk-UA"/>
        </w:rPr>
        <w:t>Interreg</w:t>
      </w:r>
      <w:proofErr w:type="spellEnd"/>
      <w:r w:rsidRPr="007C1155">
        <w:rPr>
          <w:lang w:val="uk-UA"/>
        </w:rPr>
        <w:t>;</w:t>
      </w:r>
    </w:p>
    <w:p w14:paraId="68E1AC38" w14:textId="24805BD0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належне документальне підтвердження всіх витрат;</w:t>
      </w:r>
    </w:p>
    <w:p w14:paraId="3498DDDA" w14:textId="6B4F00B1" w:rsidR="007C1155" w:rsidRPr="007C1155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lastRenderedPageBreak/>
        <w:t>відповідність здійснених витрат фінансовим, процедурним та аудиторським вимогам;</w:t>
      </w:r>
    </w:p>
    <w:p w14:paraId="3083E084" w14:textId="6C6B30F6" w:rsidR="008A4D58" w:rsidRPr="00431D0C" w:rsidRDefault="007C1155" w:rsidP="004A679F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7C1155">
        <w:rPr>
          <w:lang w:val="uk-UA"/>
        </w:rPr>
        <w:t>підвищення ефективності транскордонної взаємодії та координації партнерів проєкту.</w:t>
      </w:r>
    </w:p>
    <w:p w14:paraId="6A0F3473" w14:textId="6259FBF6" w:rsidR="008E3488" w:rsidRPr="00B330DC" w:rsidRDefault="00B330DC" w:rsidP="00B330DC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</w:pPr>
      <w:r w:rsidRPr="00B330DC"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ПЛАНОВІ ОБСЯГИ ТА ГЕОГРАФІЯ НАДАННЯ ПОСЛУГ</w:t>
      </w:r>
    </w:p>
    <w:p w14:paraId="419EA889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Послуги охоплюють організацію участі представників проєкту у міжнародних заходах, а також забезпечення внутрішньої логістики проєктної команди в межах реалізації проєктних активностей.</w:t>
      </w:r>
    </w:p>
    <w:p w14:paraId="67367A85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Географія поїздок</w:t>
      </w:r>
    </w:p>
    <w:p w14:paraId="30072240" w14:textId="09AC8F98" w:rsidR="00B330DC" w:rsidRPr="00B330DC" w:rsidRDefault="00B330DC" w:rsidP="004A679F">
      <w:pPr>
        <w:pStyle w:val="ae"/>
        <w:numPr>
          <w:ilvl w:val="0"/>
          <w:numId w:val="3"/>
        </w:numPr>
        <w:jc w:val="both"/>
        <w:rPr>
          <w:lang w:val="uk-UA"/>
        </w:rPr>
      </w:pPr>
      <w:r w:rsidRPr="00B330DC">
        <w:rPr>
          <w:lang w:val="uk-UA"/>
        </w:rPr>
        <w:t>Міжнародні відрядження</w:t>
      </w:r>
    </w:p>
    <w:p w14:paraId="1B444A79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Основними країнами призначення є:</w:t>
      </w:r>
    </w:p>
    <w:p w14:paraId="25E9D448" w14:textId="6C41A310" w:rsidR="00B330DC" w:rsidRPr="00B330DC" w:rsidRDefault="00B330DC" w:rsidP="004A679F">
      <w:pPr>
        <w:pStyle w:val="ae"/>
        <w:numPr>
          <w:ilvl w:val="1"/>
          <w:numId w:val="4"/>
        </w:numPr>
        <w:jc w:val="both"/>
        <w:rPr>
          <w:lang w:val="uk-UA"/>
        </w:rPr>
      </w:pPr>
      <w:r w:rsidRPr="00B330DC">
        <w:rPr>
          <w:lang w:val="uk-UA"/>
        </w:rPr>
        <w:t>Румунія</w:t>
      </w:r>
    </w:p>
    <w:p w14:paraId="16819D35" w14:textId="2D19906E" w:rsidR="00B330DC" w:rsidRPr="00B330DC" w:rsidRDefault="00B330DC" w:rsidP="004A679F">
      <w:pPr>
        <w:pStyle w:val="ae"/>
        <w:numPr>
          <w:ilvl w:val="1"/>
          <w:numId w:val="4"/>
        </w:numPr>
        <w:jc w:val="both"/>
        <w:rPr>
          <w:lang w:val="uk-UA"/>
        </w:rPr>
      </w:pPr>
      <w:r w:rsidRPr="00B330DC">
        <w:rPr>
          <w:lang w:val="uk-UA"/>
        </w:rPr>
        <w:t>Греція</w:t>
      </w:r>
    </w:p>
    <w:p w14:paraId="0578C5EF" w14:textId="48C689ED" w:rsidR="00B330DC" w:rsidRPr="00B330DC" w:rsidRDefault="00B330DC" w:rsidP="004A679F">
      <w:pPr>
        <w:pStyle w:val="ae"/>
        <w:numPr>
          <w:ilvl w:val="1"/>
          <w:numId w:val="4"/>
        </w:numPr>
        <w:jc w:val="both"/>
        <w:rPr>
          <w:lang w:val="uk-UA"/>
        </w:rPr>
      </w:pPr>
      <w:r w:rsidRPr="00B330DC">
        <w:rPr>
          <w:lang w:val="uk-UA"/>
        </w:rPr>
        <w:t>Вірменія</w:t>
      </w:r>
    </w:p>
    <w:p w14:paraId="054E26D6" w14:textId="03A62B42" w:rsidR="00B330DC" w:rsidRPr="00B330DC" w:rsidRDefault="00B330DC" w:rsidP="004A679F">
      <w:pPr>
        <w:pStyle w:val="ae"/>
        <w:numPr>
          <w:ilvl w:val="1"/>
          <w:numId w:val="4"/>
        </w:numPr>
        <w:jc w:val="both"/>
        <w:rPr>
          <w:lang w:val="uk-UA"/>
        </w:rPr>
      </w:pPr>
      <w:r w:rsidRPr="00B330DC">
        <w:rPr>
          <w:lang w:val="uk-UA"/>
        </w:rPr>
        <w:t>Болгарія</w:t>
      </w:r>
    </w:p>
    <w:p w14:paraId="57ACE9BF" w14:textId="1B8B5CE5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За потреби можливі інші напрямки в межах реалізації проєкту</w:t>
      </w:r>
      <w:r>
        <w:rPr>
          <w:lang w:val="uk-UA"/>
        </w:rPr>
        <w:t xml:space="preserve">. </w:t>
      </w:r>
    </w:p>
    <w:p w14:paraId="76CA89E7" w14:textId="5A98F44D" w:rsidR="00B330DC" w:rsidRPr="00B330DC" w:rsidRDefault="00B330DC" w:rsidP="004A679F">
      <w:pPr>
        <w:pStyle w:val="ae"/>
        <w:numPr>
          <w:ilvl w:val="0"/>
          <w:numId w:val="3"/>
        </w:numPr>
        <w:jc w:val="both"/>
        <w:rPr>
          <w:lang w:val="uk-UA"/>
        </w:rPr>
      </w:pPr>
      <w:r w:rsidRPr="00B330DC">
        <w:rPr>
          <w:lang w:val="uk-UA"/>
        </w:rPr>
        <w:t>Внутрішня логістика (Україна)</w:t>
      </w:r>
    </w:p>
    <w:p w14:paraId="0FBA50E9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У межах реалізації проєкту також передбачається забезпечення логістики проєктної команди на території України, зокрема:</w:t>
      </w:r>
    </w:p>
    <w:p w14:paraId="25CE2E8B" w14:textId="5A460289" w:rsidR="00B330DC" w:rsidRPr="00B330DC" w:rsidRDefault="00B330DC" w:rsidP="004A679F">
      <w:pPr>
        <w:pStyle w:val="ae"/>
        <w:numPr>
          <w:ilvl w:val="1"/>
          <w:numId w:val="5"/>
        </w:numPr>
        <w:jc w:val="both"/>
        <w:rPr>
          <w:lang w:val="uk-UA"/>
        </w:rPr>
      </w:pPr>
      <w:r w:rsidRPr="00B330DC">
        <w:rPr>
          <w:lang w:val="uk-UA"/>
        </w:rPr>
        <w:t>участь у національних проєктних заходах, робочих зустрічах та координаційних сесіях;</w:t>
      </w:r>
    </w:p>
    <w:p w14:paraId="71DC5A97" w14:textId="4ADC15C4" w:rsidR="00B330DC" w:rsidRPr="00B330DC" w:rsidRDefault="00B330DC" w:rsidP="004A679F">
      <w:pPr>
        <w:pStyle w:val="ae"/>
        <w:numPr>
          <w:ilvl w:val="1"/>
          <w:numId w:val="5"/>
        </w:numPr>
        <w:jc w:val="both"/>
        <w:rPr>
          <w:lang w:val="uk-UA"/>
        </w:rPr>
      </w:pPr>
      <w:r w:rsidRPr="00B330DC">
        <w:rPr>
          <w:lang w:val="uk-UA"/>
        </w:rPr>
        <w:t xml:space="preserve">організація поїздок до локацій проведення проєктних активностей (тренінги, консультації, зустрічі зі </w:t>
      </w:r>
      <w:proofErr w:type="spellStart"/>
      <w:r w:rsidRPr="00B330DC">
        <w:rPr>
          <w:lang w:val="uk-UA"/>
        </w:rPr>
        <w:t>стейкхолдерами</w:t>
      </w:r>
      <w:proofErr w:type="spellEnd"/>
      <w:r w:rsidRPr="00B330DC">
        <w:rPr>
          <w:lang w:val="uk-UA"/>
        </w:rPr>
        <w:t>, польові візити тощо);</w:t>
      </w:r>
    </w:p>
    <w:p w14:paraId="2D8C59BA" w14:textId="783BCB6E" w:rsidR="00B330DC" w:rsidRPr="00B330DC" w:rsidRDefault="00B330DC" w:rsidP="004A679F">
      <w:pPr>
        <w:pStyle w:val="ae"/>
        <w:numPr>
          <w:ilvl w:val="1"/>
          <w:numId w:val="5"/>
        </w:numPr>
        <w:jc w:val="both"/>
        <w:rPr>
          <w:lang w:val="uk-UA"/>
        </w:rPr>
      </w:pPr>
      <w:r w:rsidRPr="00B330DC">
        <w:rPr>
          <w:lang w:val="uk-UA"/>
        </w:rPr>
        <w:t>участь у заходах партнерів та пов’язаних ініціативах на території України;</w:t>
      </w:r>
    </w:p>
    <w:p w14:paraId="7C5B0C9C" w14:textId="28F822E3" w:rsidR="00B330DC" w:rsidRPr="00B330DC" w:rsidRDefault="00B330DC" w:rsidP="004A679F">
      <w:pPr>
        <w:pStyle w:val="ae"/>
        <w:numPr>
          <w:ilvl w:val="1"/>
          <w:numId w:val="5"/>
        </w:numPr>
        <w:jc w:val="both"/>
        <w:rPr>
          <w:lang w:val="uk-UA"/>
        </w:rPr>
      </w:pPr>
      <w:r w:rsidRPr="00B330DC">
        <w:rPr>
          <w:lang w:val="uk-UA"/>
        </w:rPr>
        <w:t>забезпечення мобільності команди в межах виконання проєктних завдань.</w:t>
      </w:r>
    </w:p>
    <w:p w14:paraId="29B37517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Основні напрямки внутрішніх поїздок включають:</w:t>
      </w:r>
    </w:p>
    <w:p w14:paraId="649FC686" w14:textId="44D06DEE" w:rsidR="00B330DC" w:rsidRPr="00B330DC" w:rsidRDefault="00B330DC" w:rsidP="004A679F">
      <w:pPr>
        <w:pStyle w:val="ae"/>
        <w:numPr>
          <w:ilvl w:val="1"/>
          <w:numId w:val="5"/>
        </w:numPr>
        <w:jc w:val="both"/>
        <w:rPr>
          <w:lang w:val="uk-UA"/>
        </w:rPr>
      </w:pPr>
      <w:r w:rsidRPr="00B330DC">
        <w:rPr>
          <w:lang w:val="uk-UA"/>
        </w:rPr>
        <w:t>Миколаїв та Миколаївська область (базова локація проєкту);</w:t>
      </w:r>
    </w:p>
    <w:p w14:paraId="608FF458" w14:textId="0B161F67" w:rsidR="00B330DC" w:rsidRPr="00B330DC" w:rsidRDefault="00B330DC" w:rsidP="004A679F">
      <w:pPr>
        <w:pStyle w:val="ae"/>
        <w:numPr>
          <w:ilvl w:val="1"/>
          <w:numId w:val="5"/>
        </w:numPr>
        <w:jc w:val="both"/>
        <w:rPr>
          <w:lang w:val="uk-UA"/>
        </w:rPr>
      </w:pPr>
      <w:r w:rsidRPr="00B330DC">
        <w:rPr>
          <w:lang w:val="uk-UA"/>
        </w:rPr>
        <w:t>інші регіони України (за потреби, залежно від активностей проєкту).</w:t>
      </w:r>
    </w:p>
    <w:p w14:paraId="78496B87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Орієнтовний формат поїздок</w:t>
      </w:r>
    </w:p>
    <w:p w14:paraId="33AF12AE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Міжнародні поїздки:</w:t>
      </w:r>
    </w:p>
    <w:p w14:paraId="7EEFA41F" w14:textId="69BA6491" w:rsidR="00B330DC" w:rsidRPr="00B330DC" w:rsidRDefault="00B330DC" w:rsidP="004A679F">
      <w:pPr>
        <w:pStyle w:val="ae"/>
        <w:numPr>
          <w:ilvl w:val="1"/>
          <w:numId w:val="2"/>
        </w:numPr>
        <w:jc w:val="both"/>
        <w:rPr>
          <w:lang w:val="uk-UA"/>
        </w:rPr>
      </w:pPr>
      <w:r w:rsidRPr="00B330DC">
        <w:rPr>
          <w:lang w:val="uk-UA"/>
        </w:rPr>
        <w:t xml:space="preserve">тривалість: </w:t>
      </w:r>
      <w:r w:rsidR="00FA3686">
        <w:rPr>
          <w:lang w:val="uk-UA"/>
        </w:rPr>
        <w:t>5</w:t>
      </w:r>
      <w:r w:rsidRPr="00B330DC">
        <w:rPr>
          <w:lang w:val="uk-UA"/>
        </w:rPr>
        <w:t xml:space="preserve"> дні</w:t>
      </w:r>
      <w:r w:rsidR="00FA3686">
        <w:rPr>
          <w:lang w:val="uk-UA"/>
        </w:rPr>
        <w:t>в</w:t>
      </w:r>
      <w:r w:rsidRPr="00B330DC">
        <w:rPr>
          <w:lang w:val="uk-UA"/>
        </w:rPr>
        <w:t>;</w:t>
      </w:r>
    </w:p>
    <w:p w14:paraId="4A782622" w14:textId="4727A714" w:rsidR="00B330DC" w:rsidRPr="00B330DC" w:rsidRDefault="00B330DC" w:rsidP="004A679F">
      <w:pPr>
        <w:pStyle w:val="ae"/>
        <w:numPr>
          <w:ilvl w:val="1"/>
          <w:numId w:val="2"/>
        </w:numPr>
        <w:jc w:val="both"/>
        <w:rPr>
          <w:lang w:val="uk-UA"/>
        </w:rPr>
      </w:pPr>
      <w:r w:rsidRPr="00B330DC">
        <w:rPr>
          <w:lang w:val="uk-UA"/>
        </w:rPr>
        <w:t xml:space="preserve">кількість учасників: </w:t>
      </w:r>
      <w:r w:rsidR="00FA3686">
        <w:rPr>
          <w:lang w:val="uk-UA"/>
        </w:rPr>
        <w:t>2</w:t>
      </w:r>
      <w:r w:rsidRPr="00B330DC">
        <w:rPr>
          <w:lang w:val="uk-UA"/>
        </w:rPr>
        <w:t xml:space="preserve"> особи;</w:t>
      </w:r>
    </w:p>
    <w:p w14:paraId="7E5BBD57" w14:textId="34514F2B" w:rsidR="00B330DC" w:rsidRPr="00B330DC" w:rsidRDefault="00B330DC" w:rsidP="004A679F">
      <w:pPr>
        <w:pStyle w:val="ae"/>
        <w:numPr>
          <w:ilvl w:val="1"/>
          <w:numId w:val="2"/>
        </w:numPr>
        <w:jc w:val="both"/>
        <w:rPr>
          <w:lang w:val="uk-UA"/>
        </w:rPr>
      </w:pPr>
      <w:r w:rsidRPr="00B330DC">
        <w:rPr>
          <w:lang w:val="uk-UA"/>
        </w:rPr>
        <w:t xml:space="preserve">формат: </w:t>
      </w:r>
      <w:proofErr w:type="spellStart"/>
      <w:r w:rsidRPr="00B330DC">
        <w:rPr>
          <w:lang w:val="uk-UA"/>
        </w:rPr>
        <w:t>офлайн</w:t>
      </w:r>
      <w:proofErr w:type="spellEnd"/>
      <w:r w:rsidRPr="00B330DC">
        <w:rPr>
          <w:lang w:val="uk-UA"/>
        </w:rPr>
        <w:t xml:space="preserve"> участь у заходах.</w:t>
      </w:r>
    </w:p>
    <w:p w14:paraId="43DDE880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Внутрішні поїздки (Україна):</w:t>
      </w:r>
    </w:p>
    <w:p w14:paraId="6E4FF5AD" w14:textId="7077F6E5" w:rsidR="00B330DC" w:rsidRPr="00B330DC" w:rsidRDefault="00B330DC" w:rsidP="004A679F">
      <w:pPr>
        <w:pStyle w:val="ae"/>
        <w:numPr>
          <w:ilvl w:val="1"/>
          <w:numId w:val="6"/>
        </w:numPr>
        <w:jc w:val="both"/>
        <w:rPr>
          <w:lang w:val="uk-UA"/>
        </w:rPr>
      </w:pPr>
      <w:r w:rsidRPr="00B330DC">
        <w:rPr>
          <w:lang w:val="uk-UA"/>
        </w:rPr>
        <w:t>тривалість: 1</w:t>
      </w:r>
      <w:r w:rsidR="00FA3686">
        <w:rPr>
          <w:lang w:val="uk-UA"/>
        </w:rPr>
        <w:t xml:space="preserve"> </w:t>
      </w:r>
      <w:r w:rsidRPr="00B330DC">
        <w:rPr>
          <w:lang w:val="uk-UA"/>
        </w:rPr>
        <w:t>д</w:t>
      </w:r>
      <w:r w:rsidR="00FA3686">
        <w:rPr>
          <w:lang w:val="uk-UA"/>
        </w:rPr>
        <w:t>ень</w:t>
      </w:r>
      <w:r w:rsidRPr="00B330DC">
        <w:rPr>
          <w:lang w:val="uk-UA"/>
        </w:rPr>
        <w:t>;</w:t>
      </w:r>
    </w:p>
    <w:p w14:paraId="0C90EFED" w14:textId="24BB8827" w:rsidR="00B330DC" w:rsidRPr="00B330DC" w:rsidRDefault="00B330DC" w:rsidP="004A679F">
      <w:pPr>
        <w:pStyle w:val="ae"/>
        <w:numPr>
          <w:ilvl w:val="1"/>
          <w:numId w:val="6"/>
        </w:numPr>
        <w:jc w:val="both"/>
        <w:rPr>
          <w:lang w:val="uk-UA"/>
        </w:rPr>
      </w:pPr>
      <w:r w:rsidRPr="00B330DC">
        <w:rPr>
          <w:lang w:val="uk-UA"/>
        </w:rPr>
        <w:t>кількість учасників: 3 особи;</w:t>
      </w:r>
    </w:p>
    <w:p w14:paraId="2F51172A" w14:textId="1D32D77C" w:rsidR="00B330DC" w:rsidRPr="00B330DC" w:rsidRDefault="00B330DC" w:rsidP="004A679F">
      <w:pPr>
        <w:pStyle w:val="ae"/>
        <w:numPr>
          <w:ilvl w:val="1"/>
          <w:numId w:val="6"/>
        </w:numPr>
        <w:jc w:val="both"/>
        <w:rPr>
          <w:lang w:val="uk-UA"/>
        </w:rPr>
      </w:pPr>
      <w:r w:rsidRPr="00B330DC">
        <w:rPr>
          <w:lang w:val="uk-UA"/>
        </w:rPr>
        <w:t>типи поїздок: робочі зустрічі, виїзні заходи, тренінги, польові візити;</w:t>
      </w:r>
    </w:p>
    <w:p w14:paraId="54F26559" w14:textId="42817608" w:rsidR="00B330DC" w:rsidRPr="00B330DC" w:rsidRDefault="00B330DC" w:rsidP="004A679F">
      <w:pPr>
        <w:pStyle w:val="ae"/>
        <w:numPr>
          <w:ilvl w:val="1"/>
          <w:numId w:val="6"/>
        </w:numPr>
        <w:jc w:val="both"/>
        <w:rPr>
          <w:lang w:val="uk-UA"/>
        </w:rPr>
      </w:pPr>
      <w:r w:rsidRPr="00B330DC">
        <w:rPr>
          <w:lang w:val="uk-UA"/>
        </w:rPr>
        <w:lastRenderedPageBreak/>
        <w:t>можливе використання автомобільного транспорту (у тому числі з компенсацією пального).</w:t>
      </w:r>
    </w:p>
    <w:p w14:paraId="5842EA89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Орієнтовна кількість поїздок</w:t>
      </w:r>
    </w:p>
    <w:p w14:paraId="352C9B61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У межах реалізації проєкту передбачається:</w:t>
      </w:r>
    </w:p>
    <w:p w14:paraId="54A2E38B" w14:textId="37DD560E" w:rsidR="00B330DC" w:rsidRPr="00B330DC" w:rsidRDefault="002674EE" w:rsidP="004A679F">
      <w:pPr>
        <w:pStyle w:val="ae"/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5</w:t>
      </w:r>
      <w:r w:rsidR="00B330DC" w:rsidRPr="00B330DC">
        <w:rPr>
          <w:lang w:val="uk-UA"/>
        </w:rPr>
        <w:t xml:space="preserve"> міжнародних </w:t>
      </w:r>
      <w:proofErr w:type="spellStart"/>
      <w:r w:rsidR="00B330DC" w:rsidRPr="00B330DC">
        <w:rPr>
          <w:lang w:val="uk-UA"/>
        </w:rPr>
        <w:t>відряджень</w:t>
      </w:r>
      <w:proofErr w:type="spellEnd"/>
      <w:r w:rsidR="00B330DC" w:rsidRPr="00B330DC">
        <w:rPr>
          <w:lang w:val="uk-UA"/>
        </w:rPr>
        <w:t>;</w:t>
      </w:r>
    </w:p>
    <w:p w14:paraId="080040EA" w14:textId="6AB8166B" w:rsidR="00B330DC" w:rsidRPr="00B330DC" w:rsidRDefault="00FA3686" w:rsidP="004A679F">
      <w:pPr>
        <w:pStyle w:val="ae"/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8</w:t>
      </w:r>
      <w:r w:rsidR="00B330DC" w:rsidRPr="00B330DC">
        <w:rPr>
          <w:lang w:val="uk-UA"/>
        </w:rPr>
        <w:t xml:space="preserve"> внутрішніх поїздок територією України (орієнтовно, залежно від активностей проєкту).</w:t>
      </w:r>
    </w:p>
    <w:p w14:paraId="47E49329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Фактична кількість поїздок визначається в процесі реалізації проєкту.</w:t>
      </w:r>
    </w:p>
    <w:p w14:paraId="0013251E" w14:textId="17DD567A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Загальний бюджет на надання послуг становить</w:t>
      </w:r>
      <w:r>
        <w:rPr>
          <w:lang w:val="uk-UA"/>
        </w:rPr>
        <w:t xml:space="preserve"> </w:t>
      </w:r>
      <w:r w:rsidRPr="00B330DC">
        <w:rPr>
          <w:lang w:val="uk-UA"/>
        </w:rPr>
        <w:t>16 400,00 євро</w:t>
      </w:r>
    </w:p>
    <w:p w14:paraId="64E6D8B4" w14:textId="77777777" w:rsidR="00B330DC" w:rsidRPr="00B330DC" w:rsidRDefault="00B330DC" w:rsidP="00B330DC">
      <w:pPr>
        <w:pStyle w:val="ae"/>
        <w:jc w:val="both"/>
        <w:rPr>
          <w:lang w:val="uk-UA"/>
        </w:rPr>
      </w:pPr>
      <w:r w:rsidRPr="00B330DC">
        <w:rPr>
          <w:lang w:val="uk-UA"/>
        </w:rPr>
        <w:t>У межах зазначеного бюджету передбачається покриття таких категорій витрат:</w:t>
      </w:r>
    </w:p>
    <w:p w14:paraId="35BB6CE0" w14:textId="0BD1747B" w:rsidR="00B330DC" w:rsidRPr="00B330DC" w:rsidRDefault="00B330DC" w:rsidP="004A679F">
      <w:pPr>
        <w:pStyle w:val="ae"/>
        <w:numPr>
          <w:ilvl w:val="0"/>
          <w:numId w:val="11"/>
        </w:numPr>
        <w:jc w:val="both"/>
        <w:rPr>
          <w:lang w:val="uk-UA"/>
        </w:rPr>
      </w:pPr>
      <w:r w:rsidRPr="00B330DC">
        <w:rPr>
          <w:lang w:val="uk-UA"/>
        </w:rPr>
        <w:t>Міжнародні поїздки:</w:t>
      </w:r>
    </w:p>
    <w:p w14:paraId="008148A0" w14:textId="39790C66" w:rsidR="00B330DC" w:rsidRPr="00B330DC" w:rsidRDefault="00B330DC" w:rsidP="004A679F">
      <w:pPr>
        <w:pStyle w:val="ae"/>
        <w:numPr>
          <w:ilvl w:val="1"/>
          <w:numId w:val="8"/>
        </w:numPr>
        <w:jc w:val="both"/>
        <w:rPr>
          <w:lang w:val="uk-UA"/>
        </w:rPr>
      </w:pPr>
      <w:r w:rsidRPr="00B330DC">
        <w:rPr>
          <w:lang w:val="uk-UA"/>
        </w:rPr>
        <w:t>авіа, залізничні та автобусні квитки;</w:t>
      </w:r>
    </w:p>
    <w:p w14:paraId="7ACBC603" w14:textId="73DD78BF" w:rsidR="00B330DC" w:rsidRPr="00B330DC" w:rsidRDefault="00B330DC" w:rsidP="004A679F">
      <w:pPr>
        <w:pStyle w:val="ae"/>
        <w:numPr>
          <w:ilvl w:val="1"/>
          <w:numId w:val="8"/>
        </w:numPr>
        <w:jc w:val="both"/>
        <w:rPr>
          <w:lang w:val="uk-UA"/>
        </w:rPr>
      </w:pPr>
      <w:r w:rsidRPr="00B330DC">
        <w:rPr>
          <w:lang w:val="uk-UA"/>
        </w:rPr>
        <w:t>проживання;</w:t>
      </w:r>
    </w:p>
    <w:p w14:paraId="76786184" w14:textId="126E3379" w:rsidR="00B330DC" w:rsidRPr="00B330DC" w:rsidRDefault="00B330DC" w:rsidP="004A679F">
      <w:pPr>
        <w:pStyle w:val="ae"/>
        <w:numPr>
          <w:ilvl w:val="1"/>
          <w:numId w:val="8"/>
        </w:numPr>
        <w:jc w:val="both"/>
        <w:rPr>
          <w:lang w:val="uk-UA"/>
        </w:rPr>
      </w:pPr>
      <w:r w:rsidRPr="00B330DC">
        <w:rPr>
          <w:lang w:val="uk-UA"/>
        </w:rPr>
        <w:t>добові (</w:t>
      </w:r>
      <w:proofErr w:type="spellStart"/>
      <w:r w:rsidRPr="00B330DC">
        <w:rPr>
          <w:lang w:val="uk-UA"/>
        </w:rPr>
        <w:t>per</w:t>
      </w:r>
      <w:proofErr w:type="spellEnd"/>
      <w:r w:rsidRPr="00B330DC">
        <w:rPr>
          <w:lang w:val="uk-UA"/>
        </w:rPr>
        <w:t xml:space="preserve"> </w:t>
      </w:r>
      <w:proofErr w:type="spellStart"/>
      <w:r w:rsidRPr="00B330DC">
        <w:rPr>
          <w:lang w:val="uk-UA"/>
        </w:rPr>
        <w:t>diem</w:t>
      </w:r>
      <w:proofErr w:type="spellEnd"/>
      <w:r w:rsidRPr="00B330DC">
        <w:rPr>
          <w:lang w:val="uk-UA"/>
        </w:rPr>
        <w:t>);</w:t>
      </w:r>
    </w:p>
    <w:p w14:paraId="0341F713" w14:textId="28B954A4" w:rsidR="00B330DC" w:rsidRPr="00B330DC" w:rsidRDefault="00B330DC" w:rsidP="004A679F">
      <w:pPr>
        <w:pStyle w:val="ae"/>
        <w:numPr>
          <w:ilvl w:val="1"/>
          <w:numId w:val="8"/>
        </w:numPr>
        <w:jc w:val="both"/>
        <w:rPr>
          <w:lang w:val="uk-UA"/>
        </w:rPr>
      </w:pPr>
      <w:r w:rsidRPr="00B330DC">
        <w:rPr>
          <w:lang w:val="uk-UA"/>
        </w:rPr>
        <w:t>страхування;</w:t>
      </w:r>
    </w:p>
    <w:p w14:paraId="14B03998" w14:textId="68F0ED72" w:rsidR="00B330DC" w:rsidRPr="00B330DC" w:rsidRDefault="00B330DC" w:rsidP="004A679F">
      <w:pPr>
        <w:pStyle w:val="ae"/>
        <w:numPr>
          <w:ilvl w:val="1"/>
          <w:numId w:val="8"/>
        </w:numPr>
        <w:jc w:val="both"/>
        <w:rPr>
          <w:lang w:val="uk-UA"/>
        </w:rPr>
      </w:pPr>
      <w:r w:rsidRPr="00B330DC">
        <w:rPr>
          <w:lang w:val="uk-UA"/>
        </w:rPr>
        <w:t>трансфери;</w:t>
      </w:r>
    </w:p>
    <w:p w14:paraId="479E3DB5" w14:textId="7DD20E65" w:rsidR="00B330DC" w:rsidRPr="00B330DC" w:rsidRDefault="00B330DC" w:rsidP="004A679F">
      <w:pPr>
        <w:pStyle w:val="ae"/>
        <w:numPr>
          <w:ilvl w:val="1"/>
          <w:numId w:val="8"/>
        </w:numPr>
        <w:jc w:val="both"/>
        <w:rPr>
          <w:lang w:val="uk-UA"/>
        </w:rPr>
      </w:pPr>
      <w:r w:rsidRPr="00B330DC">
        <w:rPr>
          <w:lang w:val="uk-UA"/>
        </w:rPr>
        <w:t>податки та збори.</w:t>
      </w:r>
    </w:p>
    <w:p w14:paraId="7AEE3B7B" w14:textId="3305B6F6" w:rsidR="00B330DC" w:rsidRPr="00B330DC" w:rsidRDefault="00B330DC" w:rsidP="004A679F">
      <w:pPr>
        <w:pStyle w:val="ae"/>
        <w:numPr>
          <w:ilvl w:val="0"/>
          <w:numId w:val="11"/>
        </w:numPr>
        <w:jc w:val="both"/>
        <w:rPr>
          <w:lang w:val="uk-UA"/>
        </w:rPr>
      </w:pPr>
      <w:r w:rsidRPr="00B330DC">
        <w:rPr>
          <w:lang w:val="uk-UA"/>
        </w:rPr>
        <w:t>Внутрішні поїздки (Україна):</w:t>
      </w:r>
    </w:p>
    <w:p w14:paraId="08EB5D6C" w14:textId="24CD0786" w:rsidR="00B330DC" w:rsidRPr="00B330DC" w:rsidRDefault="00B330DC" w:rsidP="004A679F">
      <w:pPr>
        <w:pStyle w:val="ae"/>
        <w:numPr>
          <w:ilvl w:val="1"/>
          <w:numId w:val="9"/>
        </w:numPr>
        <w:jc w:val="both"/>
        <w:rPr>
          <w:lang w:val="uk-UA"/>
        </w:rPr>
      </w:pPr>
      <w:r w:rsidRPr="00B330DC">
        <w:rPr>
          <w:lang w:val="uk-UA"/>
        </w:rPr>
        <w:t>транспортні витрати (залізничні, автобусні, автомобільні, паливо);</w:t>
      </w:r>
    </w:p>
    <w:p w14:paraId="486BBA52" w14:textId="68A6728C" w:rsidR="00B330DC" w:rsidRPr="00B330DC" w:rsidRDefault="00B330DC" w:rsidP="004A679F">
      <w:pPr>
        <w:pStyle w:val="ae"/>
        <w:numPr>
          <w:ilvl w:val="1"/>
          <w:numId w:val="9"/>
        </w:numPr>
        <w:jc w:val="both"/>
        <w:rPr>
          <w:lang w:val="uk-UA"/>
        </w:rPr>
      </w:pPr>
      <w:r w:rsidRPr="00B330DC">
        <w:rPr>
          <w:lang w:val="uk-UA"/>
        </w:rPr>
        <w:t>проживання (за потреби);</w:t>
      </w:r>
    </w:p>
    <w:p w14:paraId="67D7BD92" w14:textId="54856104" w:rsidR="00B330DC" w:rsidRPr="00B330DC" w:rsidRDefault="00B330DC" w:rsidP="004A679F">
      <w:pPr>
        <w:pStyle w:val="ae"/>
        <w:numPr>
          <w:ilvl w:val="1"/>
          <w:numId w:val="9"/>
        </w:numPr>
        <w:jc w:val="both"/>
        <w:rPr>
          <w:lang w:val="uk-UA"/>
        </w:rPr>
      </w:pPr>
      <w:r w:rsidRPr="00B330DC">
        <w:rPr>
          <w:lang w:val="uk-UA"/>
        </w:rPr>
        <w:t>добові (за потреби відповідно до правил проєкту);</w:t>
      </w:r>
    </w:p>
    <w:p w14:paraId="5A906573" w14:textId="1BE7AF78" w:rsidR="00B330DC" w:rsidRPr="00B330DC" w:rsidRDefault="00B330DC" w:rsidP="004A679F">
      <w:pPr>
        <w:pStyle w:val="ae"/>
        <w:numPr>
          <w:ilvl w:val="1"/>
          <w:numId w:val="9"/>
        </w:numPr>
        <w:jc w:val="both"/>
        <w:rPr>
          <w:lang w:val="uk-UA"/>
        </w:rPr>
      </w:pPr>
      <w:r w:rsidRPr="00B330DC">
        <w:rPr>
          <w:lang w:val="uk-UA"/>
        </w:rPr>
        <w:t>локальні трансфери;</w:t>
      </w:r>
    </w:p>
    <w:p w14:paraId="7090DDB1" w14:textId="22436058" w:rsidR="00B330DC" w:rsidRPr="00B330DC" w:rsidRDefault="00B330DC" w:rsidP="004A679F">
      <w:pPr>
        <w:pStyle w:val="ae"/>
        <w:numPr>
          <w:ilvl w:val="1"/>
          <w:numId w:val="9"/>
        </w:numPr>
        <w:jc w:val="both"/>
        <w:rPr>
          <w:lang w:val="uk-UA"/>
        </w:rPr>
      </w:pPr>
      <w:r w:rsidRPr="00B330DC">
        <w:rPr>
          <w:lang w:val="uk-UA"/>
        </w:rPr>
        <w:t>інші супутні витрати.</w:t>
      </w:r>
    </w:p>
    <w:p w14:paraId="0CBC8B68" w14:textId="7E5E877A" w:rsidR="00B330DC" w:rsidRPr="00B330DC" w:rsidRDefault="00B330DC" w:rsidP="004A679F">
      <w:pPr>
        <w:pStyle w:val="ae"/>
        <w:numPr>
          <w:ilvl w:val="0"/>
          <w:numId w:val="11"/>
        </w:numPr>
        <w:jc w:val="both"/>
        <w:rPr>
          <w:lang w:val="uk-UA"/>
        </w:rPr>
      </w:pPr>
      <w:r w:rsidRPr="00B330DC">
        <w:rPr>
          <w:lang w:val="uk-UA"/>
        </w:rPr>
        <w:t>Важливі застереження для учасників тендеру</w:t>
      </w:r>
    </w:p>
    <w:p w14:paraId="0F4004A0" w14:textId="3547E165" w:rsidR="00B330DC" w:rsidRPr="00B330DC" w:rsidRDefault="00B330DC" w:rsidP="004A679F">
      <w:pPr>
        <w:pStyle w:val="ae"/>
        <w:numPr>
          <w:ilvl w:val="1"/>
          <w:numId w:val="10"/>
        </w:numPr>
        <w:jc w:val="both"/>
        <w:rPr>
          <w:lang w:val="uk-UA"/>
        </w:rPr>
      </w:pPr>
      <w:r w:rsidRPr="00B330DC">
        <w:rPr>
          <w:lang w:val="uk-UA"/>
        </w:rPr>
        <w:t>наведені обсяги є орієнтовними та можуть змінюватися;</w:t>
      </w:r>
    </w:p>
    <w:p w14:paraId="25FE390E" w14:textId="219E9DA9" w:rsidR="00B330DC" w:rsidRPr="00B330DC" w:rsidRDefault="00B330DC" w:rsidP="004A679F">
      <w:pPr>
        <w:pStyle w:val="ae"/>
        <w:numPr>
          <w:ilvl w:val="1"/>
          <w:numId w:val="10"/>
        </w:numPr>
        <w:jc w:val="both"/>
        <w:rPr>
          <w:lang w:val="uk-UA"/>
        </w:rPr>
      </w:pPr>
      <w:r w:rsidRPr="00B330DC">
        <w:rPr>
          <w:lang w:val="uk-UA"/>
        </w:rPr>
        <w:t>Замовник не гарантує повного використання бюджету;</w:t>
      </w:r>
    </w:p>
    <w:p w14:paraId="24DF9A24" w14:textId="5D131830" w:rsidR="00B330DC" w:rsidRPr="00B330DC" w:rsidRDefault="00B330DC" w:rsidP="004A679F">
      <w:pPr>
        <w:pStyle w:val="ae"/>
        <w:numPr>
          <w:ilvl w:val="1"/>
          <w:numId w:val="10"/>
        </w:numPr>
        <w:jc w:val="both"/>
        <w:rPr>
          <w:lang w:val="uk-UA"/>
        </w:rPr>
      </w:pPr>
      <w:r w:rsidRPr="00B330DC">
        <w:rPr>
          <w:lang w:val="uk-UA"/>
        </w:rPr>
        <w:t>фактичні маршрути та витрати погоджуються окремо;</w:t>
      </w:r>
    </w:p>
    <w:p w14:paraId="31291891" w14:textId="4093C154" w:rsidR="00B330DC" w:rsidRPr="00B330DC" w:rsidRDefault="00B330DC" w:rsidP="004A679F">
      <w:pPr>
        <w:pStyle w:val="ae"/>
        <w:numPr>
          <w:ilvl w:val="1"/>
          <w:numId w:val="10"/>
        </w:numPr>
        <w:jc w:val="both"/>
        <w:rPr>
          <w:lang w:val="uk-UA"/>
        </w:rPr>
      </w:pPr>
      <w:r w:rsidRPr="00B330DC">
        <w:rPr>
          <w:lang w:val="uk-UA"/>
        </w:rPr>
        <w:t>учасники повинні враховувати варіативність логістики як міжнародних, так і внутрішніх поїздок;</w:t>
      </w:r>
    </w:p>
    <w:p w14:paraId="457A8ECD" w14:textId="7F6C8FD3" w:rsidR="00B330DC" w:rsidRDefault="00B330DC" w:rsidP="004A679F">
      <w:pPr>
        <w:pStyle w:val="ae"/>
        <w:numPr>
          <w:ilvl w:val="1"/>
          <w:numId w:val="10"/>
        </w:numPr>
        <w:spacing w:before="0" w:beforeAutospacing="0" w:after="0" w:afterAutospacing="0"/>
        <w:jc w:val="both"/>
        <w:rPr>
          <w:lang w:val="uk-UA"/>
        </w:rPr>
      </w:pPr>
      <w:r w:rsidRPr="00B330DC">
        <w:rPr>
          <w:lang w:val="uk-UA"/>
        </w:rPr>
        <w:t>ціна пропозиції має враховувати повний цикл послуг.</w:t>
      </w:r>
    </w:p>
    <w:p w14:paraId="19453B77" w14:textId="77777777" w:rsidR="00B330DC" w:rsidRDefault="00B330DC" w:rsidP="00B330DC">
      <w:pPr>
        <w:pStyle w:val="ae"/>
        <w:spacing w:before="0" w:beforeAutospacing="0" w:after="0" w:afterAutospacing="0"/>
        <w:ind w:left="1800"/>
        <w:jc w:val="both"/>
        <w:rPr>
          <w:lang w:val="uk-UA"/>
        </w:rPr>
      </w:pPr>
    </w:p>
    <w:p w14:paraId="7FD98BB2" w14:textId="046A63C4" w:rsidR="00596352" w:rsidRPr="00F9743E" w:rsidRDefault="0051592E" w:rsidP="00C26F53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 xml:space="preserve">УМОВИ </w:t>
      </w:r>
      <w:r w:rsidR="00272B53"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РОБОТИ</w:t>
      </w:r>
    </w:p>
    <w:p w14:paraId="37FDD6B3" w14:textId="4483724C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 xml:space="preserve">Усі послуги надаються відповідно до затвердженого плану реалізації проєкту, календаря міжнародних заходів, внутрішніх процедур Замовника та вимог програми </w:t>
      </w:r>
      <w:proofErr w:type="spellStart"/>
      <w:r w:rsidRPr="00431D0C">
        <w:rPr>
          <w:lang w:val="uk-UA"/>
        </w:rPr>
        <w:t>Interreg</w:t>
      </w:r>
      <w:proofErr w:type="spellEnd"/>
      <w:r w:rsidRPr="00431D0C">
        <w:rPr>
          <w:lang w:val="uk-UA"/>
        </w:rPr>
        <w:t xml:space="preserve"> NEXT </w:t>
      </w:r>
      <w:proofErr w:type="spellStart"/>
      <w:r w:rsidRPr="00431D0C">
        <w:rPr>
          <w:lang w:val="uk-UA"/>
        </w:rPr>
        <w:t>Black</w:t>
      </w:r>
      <w:proofErr w:type="spellEnd"/>
      <w:r w:rsidRPr="00431D0C">
        <w:rPr>
          <w:lang w:val="uk-UA"/>
        </w:rPr>
        <w:t xml:space="preserve"> </w:t>
      </w:r>
      <w:proofErr w:type="spellStart"/>
      <w:r w:rsidRPr="00431D0C">
        <w:rPr>
          <w:lang w:val="uk-UA"/>
        </w:rPr>
        <w:t>Sea</w:t>
      </w:r>
      <w:proofErr w:type="spellEnd"/>
      <w:r w:rsidRPr="00431D0C">
        <w:rPr>
          <w:lang w:val="uk-UA"/>
        </w:rPr>
        <w:t xml:space="preserve"> </w:t>
      </w:r>
      <w:proofErr w:type="spellStart"/>
      <w:r w:rsidRPr="00431D0C">
        <w:rPr>
          <w:lang w:val="uk-UA"/>
        </w:rPr>
        <w:t>Basin</w:t>
      </w:r>
      <w:proofErr w:type="spellEnd"/>
      <w:r w:rsidRPr="00431D0C">
        <w:rPr>
          <w:lang w:val="uk-UA"/>
        </w:rPr>
        <w:t>. Виконавець зобов’язаний враховувати специфіку транскордонної співпраці, географію поїздок, а також вимоги до допустимості та обґрунтованості витрат.</w:t>
      </w:r>
    </w:p>
    <w:p w14:paraId="62D51F0B" w14:textId="621BD8B5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 xml:space="preserve">Надання послуг здійснюється за принципом попереднього погодження з Замовником усіх ключових параметрів відряджень, зокрема: маршрутів, дат поїздок, видів </w:t>
      </w:r>
      <w:r w:rsidRPr="00431D0C">
        <w:rPr>
          <w:lang w:val="uk-UA"/>
        </w:rPr>
        <w:lastRenderedPageBreak/>
        <w:t>транспорту, варіантів проживання, складу учасників, тривалості перебування та пов’язаних витрат. Самостійне прийняття рішень без погодження Замовника не допускається.</w:t>
      </w:r>
    </w:p>
    <w:p w14:paraId="2514D8DE" w14:textId="2924012A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Виконавець забезпечує повний цикл організації відряджень, включаючи планування, бронювання, координацію та супровід поїздок, а також несе відповідальність за своєчасність та коректність усіх організаційних процесів.</w:t>
      </w:r>
    </w:p>
    <w:p w14:paraId="778120C0" w14:textId="66882D27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Усі логістичні рішення мають ґрунтуватися на принципах економічної доцільності, оптимального співвідношення ціни та якості, а також відповідності затвердженому бюджету проєкту. Виконавець зобов’язаний пропонувати Замовнику альтернативні варіанти (за потреби) для прийняття обґрунтованого рішення.</w:t>
      </w:r>
    </w:p>
    <w:p w14:paraId="3322D00B" w14:textId="5C3D0451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Виконавець забезпечує належний рівень сервісу під час організації поїздок, включаючи оперативне реагування на зміни (перенесення рейсів, скасування, затримки, форс-мажорні обставини), а також підтримку учасників відряджень протягом усього періоду їх перебування.</w:t>
      </w:r>
    </w:p>
    <w:p w14:paraId="20B77057" w14:textId="0C407D30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 xml:space="preserve">Усі витрати, пов’язані з </w:t>
      </w:r>
      <w:proofErr w:type="spellStart"/>
      <w:r w:rsidRPr="00431D0C">
        <w:rPr>
          <w:lang w:val="uk-UA"/>
        </w:rPr>
        <w:t>відрядженнями</w:t>
      </w:r>
      <w:proofErr w:type="spellEnd"/>
      <w:r w:rsidRPr="00431D0C">
        <w:rPr>
          <w:lang w:val="uk-UA"/>
        </w:rPr>
        <w:t xml:space="preserve"> (транспорт, проживання, добові, страхування та інші супутні витрати), мають відповідати правилам програми </w:t>
      </w:r>
      <w:proofErr w:type="spellStart"/>
      <w:r w:rsidRPr="00431D0C">
        <w:rPr>
          <w:lang w:val="uk-UA"/>
        </w:rPr>
        <w:t>Interreg</w:t>
      </w:r>
      <w:proofErr w:type="spellEnd"/>
      <w:r w:rsidRPr="00431D0C">
        <w:rPr>
          <w:lang w:val="uk-UA"/>
        </w:rPr>
        <w:t>, бути документально підтвердженими та такими, що підлягають фінансовому контролю та аудиту.</w:t>
      </w:r>
    </w:p>
    <w:p w14:paraId="72D5744F" w14:textId="1F4F8FF3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Виконавець забезпечує повний фінансово-документальний супровід, включаючи збір, систематизацію та надання підтверджуючих документів (квитки, рахунки, інвойси, посадкові талони, страхові поліси тощо), у форматі та строки, визначені Замовником.</w:t>
      </w:r>
    </w:p>
    <w:p w14:paraId="6B4A0EDF" w14:textId="4A5232B2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Усі документи повинні бути оформлені відповідно до вимог програми та національного законодавства, містити необхідні реквізити та бути придатними для подальшої перевірки в рамках фінансового контролю та аудиту.</w:t>
      </w:r>
    </w:p>
    <w:p w14:paraId="39662E35" w14:textId="4E6FB333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 xml:space="preserve">Виконавець зобов’язується забезпечити постійну та ефективну комунікацію із Замовником, включаючи своєчасне інформування про статус </w:t>
      </w:r>
      <w:proofErr w:type="spellStart"/>
      <w:r w:rsidRPr="00431D0C">
        <w:rPr>
          <w:lang w:val="uk-UA"/>
        </w:rPr>
        <w:t>бронювань</w:t>
      </w:r>
      <w:proofErr w:type="spellEnd"/>
      <w:r w:rsidRPr="00431D0C">
        <w:rPr>
          <w:lang w:val="uk-UA"/>
        </w:rPr>
        <w:t>, можливі зміни, ризики або ускладнення, а також оперативне погодження всіх організаційних рішень.</w:t>
      </w:r>
    </w:p>
    <w:p w14:paraId="58D6BF93" w14:textId="2E3A91E1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 xml:space="preserve">У разі виявлення помилок, </w:t>
      </w:r>
      <w:proofErr w:type="spellStart"/>
      <w:r w:rsidRPr="00431D0C">
        <w:rPr>
          <w:lang w:val="uk-UA"/>
        </w:rPr>
        <w:t>неточностей</w:t>
      </w:r>
      <w:proofErr w:type="spellEnd"/>
      <w:r w:rsidRPr="00431D0C">
        <w:rPr>
          <w:lang w:val="uk-UA"/>
        </w:rPr>
        <w:t xml:space="preserve"> або </w:t>
      </w:r>
      <w:proofErr w:type="spellStart"/>
      <w:r w:rsidRPr="00431D0C">
        <w:rPr>
          <w:lang w:val="uk-UA"/>
        </w:rPr>
        <w:t>невідповідностей</w:t>
      </w:r>
      <w:proofErr w:type="spellEnd"/>
      <w:r w:rsidRPr="00431D0C">
        <w:rPr>
          <w:lang w:val="uk-UA"/>
        </w:rPr>
        <w:t xml:space="preserve"> (у </w:t>
      </w:r>
      <w:proofErr w:type="spellStart"/>
      <w:r w:rsidRPr="00431D0C">
        <w:rPr>
          <w:lang w:val="uk-UA"/>
        </w:rPr>
        <w:t>бронюваннях</w:t>
      </w:r>
      <w:proofErr w:type="spellEnd"/>
      <w:r w:rsidRPr="00431D0C">
        <w:rPr>
          <w:lang w:val="uk-UA"/>
        </w:rPr>
        <w:t>, документах чи організації поїздок), Виконавець зобов’язується безоплатно та у найкоротші строки здійснити їх виправлення. Кількість ітерацій доопрацювання не обмежується до моменту повного виконання вимог Замовника.</w:t>
      </w:r>
    </w:p>
    <w:p w14:paraId="7136EB26" w14:textId="17FB433A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Усі витрати, пов’язані з організацією та адмініструванням послуг (включаючи комісії, організаційні витрати, комунікацію, координацію тощо), мають бути включені до вартості послуг та не підлягають додатковій компенсації, якщо інше не погоджено із Замовником.</w:t>
      </w:r>
    </w:p>
    <w:p w14:paraId="7AB938B7" w14:textId="1D4EBD6C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Виконавець гарантує дотримання погоджених строків організації поїздок та участі у заходах. У разі виникнення ризиків затримок або неможливості виконання зобов’язань, Виконавець зобов’язаний завчасно повідомити Замовника та запропонувати альтернативні рішення.</w:t>
      </w:r>
    </w:p>
    <w:p w14:paraId="5AF0DBE7" w14:textId="70C5984C" w:rsidR="00431D0C" w:rsidRPr="00431D0C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after="120"/>
        <w:jc w:val="both"/>
        <w:rPr>
          <w:lang w:val="uk-UA"/>
        </w:rPr>
      </w:pPr>
      <w:r w:rsidRPr="00431D0C">
        <w:rPr>
          <w:lang w:val="uk-UA"/>
        </w:rPr>
        <w:t>Виконавець зобов’язується дотримуватися вимог конфіденційності щодо інформації, отриманої в процесі виконання договору, включаючи дані про учасників, маршрути, фінансові умови та внутрішні процеси проєкту, та не має права передавати таку інформацію третім особам без письмового погодження Замовника.</w:t>
      </w:r>
    </w:p>
    <w:p w14:paraId="589D08FD" w14:textId="76173A22" w:rsidR="00932011" w:rsidRDefault="00431D0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beforeAutospacing="0" w:after="120" w:afterAutospacing="0"/>
        <w:jc w:val="both"/>
        <w:rPr>
          <w:lang w:val="uk-UA"/>
        </w:rPr>
      </w:pPr>
      <w:r w:rsidRPr="00431D0C">
        <w:rPr>
          <w:lang w:val="uk-UA"/>
        </w:rPr>
        <w:t>Усі матеріали та документи, підготовлені або зібрані в межах надання послуг (включаючи фінансові документи, підтвердження витрат, звітні матеріали), є власністю Замовника та можуть використовуватися ним без обмежень у межах реалізації проєкту, звітності, аудиту та комунікаційної діяльності.</w:t>
      </w:r>
    </w:p>
    <w:p w14:paraId="415F5D45" w14:textId="77777777" w:rsidR="00B330DC" w:rsidRPr="008E3488" w:rsidRDefault="00B330DC" w:rsidP="004A679F">
      <w:pPr>
        <w:pStyle w:val="ae"/>
        <w:numPr>
          <w:ilvl w:val="0"/>
          <w:numId w:val="2"/>
        </w:numPr>
        <w:tabs>
          <w:tab w:val="left" w:pos="142"/>
        </w:tabs>
        <w:spacing w:before="120" w:beforeAutospacing="0" w:after="120" w:afterAutospacing="0"/>
        <w:jc w:val="both"/>
        <w:rPr>
          <w:lang w:val="uk-UA"/>
        </w:rPr>
      </w:pPr>
    </w:p>
    <w:p w14:paraId="293972E0" w14:textId="3B10CB22" w:rsidR="003B5A58" w:rsidRPr="00F9743E" w:rsidRDefault="00390183" w:rsidP="00C26F53">
      <w:pPr>
        <w:pStyle w:val="a6"/>
        <w:numPr>
          <w:ilvl w:val="0"/>
          <w:numId w:val="1"/>
        </w:numPr>
        <w:tabs>
          <w:tab w:val="clear" w:pos="567"/>
          <w:tab w:val="left" w:pos="0"/>
          <w:tab w:val="left" w:pos="10065"/>
        </w:tabs>
        <w:spacing w:before="120" w:after="120" w:line="240" w:lineRule="auto"/>
        <w:ind w:right="-312"/>
        <w:rPr>
          <w:rFonts w:eastAsiaTheme="majorEastAsia"/>
          <w:bCs/>
          <w:smallCaps/>
          <w:sz w:val="24"/>
          <w:szCs w:val="24"/>
          <w:lang w:val="uk-UA"/>
        </w:rPr>
      </w:pPr>
      <w:r>
        <w:rPr>
          <w:rFonts w:eastAsiaTheme="majorEastAsia"/>
          <w:bCs/>
          <w:smallCaps/>
          <w:sz w:val="24"/>
          <w:szCs w:val="24"/>
          <w:lang w:val="uk-UA"/>
        </w:rPr>
        <w:t>БЮДЖЕТ</w:t>
      </w:r>
    </w:p>
    <w:p w14:paraId="28C78B70" w14:textId="77777777" w:rsidR="00B330DC" w:rsidRPr="00B330DC" w:rsidRDefault="00B330DC" w:rsidP="00B330DC">
      <w:pPr>
        <w:pStyle w:val="a6"/>
        <w:tabs>
          <w:tab w:val="left" w:pos="284"/>
          <w:tab w:val="left" w:pos="1418"/>
          <w:tab w:val="left" w:pos="10065"/>
        </w:tabs>
        <w:spacing w:before="120" w:after="120"/>
        <w:ind w:right="-312"/>
        <w:rPr>
          <w:rFonts w:eastAsia="MS Mincho"/>
          <w:b w:val="0"/>
          <w:sz w:val="24"/>
          <w:szCs w:val="24"/>
          <w:lang w:val="uk-UA" w:eastAsia="ja-JP"/>
        </w:rPr>
      </w:pPr>
      <w:r w:rsidRPr="00B330DC">
        <w:rPr>
          <w:rFonts w:eastAsia="MS Mincho"/>
          <w:b w:val="0"/>
          <w:sz w:val="24"/>
          <w:szCs w:val="24"/>
          <w:lang w:val="uk-UA" w:eastAsia="ja-JP"/>
        </w:rPr>
        <w:lastRenderedPageBreak/>
        <w:t>Бюджет на надання послуг формується на основі запланованого обсягу відряджень, географії поїздок, кількості учасників, типів міжнародних заходів та вимог до організації логістичного і адміністративного супроводу участі представників проєкту у межах реалізації проєкту e-AQUAF.</w:t>
      </w:r>
    </w:p>
    <w:p w14:paraId="60D2880C" w14:textId="77777777" w:rsidR="00B330DC" w:rsidRPr="00B330DC" w:rsidRDefault="00B330DC" w:rsidP="00B330DC">
      <w:pPr>
        <w:pStyle w:val="a6"/>
        <w:tabs>
          <w:tab w:val="left" w:pos="284"/>
          <w:tab w:val="left" w:pos="1418"/>
          <w:tab w:val="left" w:pos="10065"/>
        </w:tabs>
        <w:spacing w:before="120" w:after="120"/>
        <w:ind w:right="-312"/>
        <w:rPr>
          <w:rFonts w:eastAsia="MS Mincho"/>
          <w:b w:val="0"/>
          <w:sz w:val="24"/>
          <w:szCs w:val="24"/>
          <w:lang w:val="uk-UA" w:eastAsia="ja-JP"/>
        </w:rPr>
      </w:pPr>
      <w:r w:rsidRPr="00B330DC">
        <w:rPr>
          <w:rFonts w:eastAsia="MS Mincho"/>
          <w:b w:val="0"/>
          <w:sz w:val="24"/>
          <w:szCs w:val="24"/>
          <w:lang w:val="uk-UA" w:eastAsia="ja-JP"/>
        </w:rPr>
        <w:t>Бюджет охоплює всі витрати, пов’язані з наданням послуг, включаючи, але не обмежуючись: витратами на транспорт (міжнародний та внутрішній), проживання, добові, страхування, організацію трансферів, адміністративний супровід, бронювання та координацію поїздок, а також інші супутні витрати, необхідні для забезпечення участі у міжнародних заходах. Додаткові витрати понад погоджену суму контракту не передбачаються, якщо інше не буде окремо погоджено із Замовником.</w:t>
      </w:r>
    </w:p>
    <w:p w14:paraId="0C265982" w14:textId="77777777" w:rsidR="00B330DC" w:rsidRPr="00B330DC" w:rsidRDefault="00B330DC" w:rsidP="00B330DC">
      <w:pPr>
        <w:pStyle w:val="a6"/>
        <w:tabs>
          <w:tab w:val="left" w:pos="284"/>
          <w:tab w:val="left" w:pos="1418"/>
          <w:tab w:val="left" w:pos="10065"/>
        </w:tabs>
        <w:spacing w:before="120" w:after="120"/>
        <w:ind w:right="-312"/>
        <w:rPr>
          <w:rFonts w:eastAsia="MS Mincho"/>
          <w:b w:val="0"/>
          <w:sz w:val="24"/>
          <w:szCs w:val="24"/>
          <w:lang w:val="uk-UA" w:eastAsia="ja-JP"/>
        </w:rPr>
      </w:pPr>
      <w:r w:rsidRPr="00B330DC">
        <w:rPr>
          <w:rFonts w:eastAsia="MS Mincho"/>
          <w:b w:val="0"/>
          <w:sz w:val="24"/>
          <w:szCs w:val="24"/>
          <w:lang w:val="uk-UA" w:eastAsia="ja-JP"/>
        </w:rPr>
        <w:t xml:space="preserve">Фінансування послуг здійснюється у межах затвердженого бюджету проєкту та відповідно до фінансових правил програми </w:t>
      </w:r>
      <w:proofErr w:type="spellStart"/>
      <w:r w:rsidRPr="00B330DC">
        <w:rPr>
          <w:rFonts w:eastAsia="MS Mincho"/>
          <w:b w:val="0"/>
          <w:sz w:val="24"/>
          <w:szCs w:val="24"/>
          <w:lang w:val="uk-UA" w:eastAsia="ja-JP"/>
        </w:rPr>
        <w:t>Interreg</w:t>
      </w:r>
      <w:proofErr w:type="spellEnd"/>
      <w:r w:rsidRPr="00B330DC">
        <w:rPr>
          <w:rFonts w:eastAsia="MS Mincho"/>
          <w:b w:val="0"/>
          <w:sz w:val="24"/>
          <w:szCs w:val="24"/>
          <w:lang w:val="uk-UA" w:eastAsia="ja-JP"/>
        </w:rPr>
        <w:t xml:space="preserve"> NEXT </w:t>
      </w:r>
      <w:proofErr w:type="spellStart"/>
      <w:r w:rsidRPr="00B330DC">
        <w:rPr>
          <w:rFonts w:eastAsia="MS Mincho"/>
          <w:b w:val="0"/>
          <w:sz w:val="24"/>
          <w:szCs w:val="24"/>
          <w:lang w:val="uk-UA" w:eastAsia="ja-JP"/>
        </w:rPr>
        <w:t>Black</w:t>
      </w:r>
      <w:proofErr w:type="spellEnd"/>
      <w:r w:rsidRPr="00B330DC">
        <w:rPr>
          <w:rFonts w:eastAsia="MS Mincho"/>
          <w:b w:val="0"/>
          <w:sz w:val="24"/>
          <w:szCs w:val="24"/>
          <w:lang w:val="uk-UA" w:eastAsia="ja-JP"/>
        </w:rPr>
        <w:t xml:space="preserve"> </w:t>
      </w:r>
      <w:proofErr w:type="spellStart"/>
      <w:r w:rsidRPr="00B330DC">
        <w:rPr>
          <w:rFonts w:eastAsia="MS Mincho"/>
          <w:b w:val="0"/>
          <w:sz w:val="24"/>
          <w:szCs w:val="24"/>
          <w:lang w:val="uk-UA" w:eastAsia="ja-JP"/>
        </w:rPr>
        <w:t>Sea</w:t>
      </w:r>
      <w:proofErr w:type="spellEnd"/>
      <w:r w:rsidRPr="00B330DC">
        <w:rPr>
          <w:rFonts w:eastAsia="MS Mincho"/>
          <w:b w:val="0"/>
          <w:sz w:val="24"/>
          <w:szCs w:val="24"/>
          <w:lang w:val="uk-UA" w:eastAsia="ja-JP"/>
        </w:rPr>
        <w:t xml:space="preserve"> </w:t>
      </w:r>
      <w:proofErr w:type="spellStart"/>
      <w:r w:rsidRPr="00B330DC">
        <w:rPr>
          <w:rFonts w:eastAsia="MS Mincho"/>
          <w:b w:val="0"/>
          <w:sz w:val="24"/>
          <w:szCs w:val="24"/>
          <w:lang w:val="uk-UA" w:eastAsia="ja-JP"/>
        </w:rPr>
        <w:t>Basin</w:t>
      </w:r>
      <w:proofErr w:type="spellEnd"/>
      <w:r w:rsidRPr="00B330DC">
        <w:rPr>
          <w:rFonts w:eastAsia="MS Mincho"/>
          <w:b w:val="0"/>
          <w:sz w:val="24"/>
          <w:szCs w:val="24"/>
          <w:lang w:val="uk-UA" w:eastAsia="ja-JP"/>
        </w:rPr>
        <w:t>, включаючи вимоги щодо допустимості витрат, їх обґрунтованості, економічної ефективності та належного документального підтвердження.</w:t>
      </w:r>
    </w:p>
    <w:p w14:paraId="7CCB2A14" w14:textId="07F511E2" w:rsidR="00B330DC" w:rsidRPr="00B330DC" w:rsidRDefault="00B330DC" w:rsidP="00B330DC">
      <w:pPr>
        <w:pStyle w:val="a6"/>
        <w:tabs>
          <w:tab w:val="left" w:pos="284"/>
          <w:tab w:val="left" w:pos="1418"/>
          <w:tab w:val="left" w:pos="10065"/>
        </w:tabs>
        <w:spacing w:before="120" w:after="120"/>
        <w:ind w:right="-312"/>
        <w:rPr>
          <w:rFonts w:eastAsia="MS Mincho"/>
          <w:b w:val="0"/>
          <w:sz w:val="24"/>
          <w:szCs w:val="24"/>
          <w:lang w:val="uk-UA" w:eastAsia="ja-JP"/>
        </w:rPr>
      </w:pPr>
      <w:r w:rsidRPr="00B330DC">
        <w:rPr>
          <w:rFonts w:eastAsia="MS Mincho"/>
          <w:b w:val="0"/>
          <w:sz w:val="24"/>
          <w:szCs w:val="24"/>
          <w:lang w:val="uk-UA" w:eastAsia="ja-JP"/>
        </w:rPr>
        <w:t xml:space="preserve">Тендерні пропозиції подаються учасниками в національній валюті України </w:t>
      </w:r>
      <w:r>
        <w:rPr>
          <w:rFonts w:eastAsia="MS Mincho"/>
          <w:b w:val="0"/>
          <w:sz w:val="24"/>
          <w:szCs w:val="24"/>
          <w:lang w:val="uk-UA" w:eastAsia="ja-JP"/>
        </w:rPr>
        <w:t>-</w:t>
      </w:r>
      <w:r w:rsidRPr="00B330DC">
        <w:rPr>
          <w:rFonts w:eastAsia="MS Mincho"/>
          <w:b w:val="0"/>
          <w:sz w:val="24"/>
          <w:szCs w:val="24"/>
          <w:lang w:val="uk-UA" w:eastAsia="ja-JP"/>
        </w:rPr>
        <w:t xml:space="preserve"> гривні.</w:t>
      </w:r>
    </w:p>
    <w:p w14:paraId="1D49019F" w14:textId="77777777" w:rsidR="00B330DC" w:rsidRPr="00B330DC" w:rsidRDefault="00B330DC" w:rsidP="00B330DC">
      <w:pPr>
        <w:pStyle w:val="a6"/>
        <w:tabs>
          <w:tab w:val="left" w:pos="284"/>
          <w:tab w:val="left" w:pos="1418"/>
          <w:tab w:val="left" w:pos="10065"/>
        </w:tabs>
        <w:spacing w:before="120" w:after="120"/>
        <w:ind w:right="-312"/>
        <w:rPr>
          <w:rFonts w:eastAsia="MS Mincho"/>
          <w:b w:val="0"/>
          <w:sz w:val="24"/>
          <w:szCs w:val="24"/>
          <w:lang w:val="uk-UA" w:eastAsia="ja-JP"/>
        </w:rPr>
      </w:pPr>
      <w:r w:rsidRPr="00B330DC">
        <w:rPr>
          <w:rFonts w:eastAsia="MS Mincho"/>
          <w:b w:val="0"/>
          <w:sz w:val="24"/>
          <w:szCs w:val="24"/>
          <w:lang w:val="uk-UA" w:eastAsia="ja-JP"/>
        </w:rPr>
        <w:t>Водночас на дату підписання договору загальна вартість договору з переможцем фіксується в євро шляхом перерахунку за курсом INFOREURO, чинним на цю дату, відповідно до офіційних даних Європейської Комісії. Оплата за договором здійснюється у гривні, а сума кожного платежу визначається як гривневий еквівалент суми, зафіксованої в євро, розрахований за курсом INFOREURO, чинним на дату виставлення рахунку.</w:t>
      </w:r>
    </w:p>
    <w:p w14:paraId="095C4857" w14:textId="77777777" w:rsidR="00B330DC" w:rsidRPr="00B330DC" w:rsidRDefault="00B330DC" w:rsidP="00B330DC">
      <w:pPr>
        <w:pStyle w:val="a6"/>
        <w:tabs>
          <w:tab w:val="left" w:pos="284"/>
          <w:tab w:val="left" w:pos="1418"/>
          <w:tab w:val="left" w:pos="10065"/>
        </w:tabs>
        <w:spacing w:before="120" w:after="120"/>
        <w:ind w:right="-312"/>
        <w:rPr>
          <w:rFonts w:eastAsia="MS Mincho"/>
          <w:b w:val="0"/>
          <w:sz w:val="24"/>
          <w:szCs w:val="24"/>
          <w:lang w:val="uk-UA" w:eastAsia="ja-JP"/>
        </w:rPr>
      </w:pPr>
      <w:r w:rsidRPr="00B330DC">
        <w:rPr>
          <w:rFonts w:eastAsia="MS Mincho"/>
          <w:b w:val="0"/>
          <w:sz w:val="24"/>
          <w:szCs w:val="24"/>
          <w:lang w:val="uk-UA" w:eastAsia="ja-JP"/>
        </w:rPr>
        <w:t>Виконавець зобов’язується забезпечити прозорість формування вартості послуг, деталізацію витрат за категоріями (транспорт, проживання, добові, страхування тощо), а також відповідність запропонованих цін ринковому рівню та принципам ефективного використання коштів.</w:t>
      </w:r>
    </w:p>
    <w:p w14:paraId="56DAD8AD" w14:textId="79087D4E" w:rsidR="00A56214" w:rsidRPr="00F9743E" w:rsidRDefault="00B330DC" w:rsidP="00B330DC">
      <w:pPr>
        <w:pStyle w:val="a6"/>
        <w:tabs>
          <w:tab w:val="clear" w:pos="567"/>
          <w:tab w:val="left" w:pos="284"/>
          <w:tab w:val="left" w:pos="1418"/>
          <w:tab w:val="left" w:pos="10065"/>
        </w:tabs>
        <w:spacing w:before="120" w:after="120" w:line="240" w:lineRule="auto"/>
        <w:ind w:right="-312"/>
        <w:rPr>
          <w:rFonts w:asciiTheme="majorBidi" w:hAnsiTheme="majorBidi" w:cstheme="majorBidi"/>
          <w:b w:val="0"/>
          <w:color w:val="000000"/>
          <w:sz w:val="24"/>
          <w:szCs w:val="24"/>
          <w:lang w:val="uk-UA"/>
        </w:rPr>
      </w:pPr>
      <w:r w:rsidRPr="00B330DC">
        <w:rPr>
          <w:rFonts w:eastAsia="MS Mincho"/>
          <w:b w:val="0"/>
          <w:sz w:val="24"/>
          <w:szCs w:val="24"/>
          <w:lang w:val="uk-UA" w:eastAsia="ja-JP"/>
        </w:rPr>
        <w:t>Усі витрати повинні бути підтверджені належними фінансовими документами та відповідати вимогам до звітності, фінансового контролю та аудиту, встановленим програмою та Замовником.</w:t>
      </w:r>
    </w:p>
    <w:sectPr w:rsidR="00A56214" w:rsidRPr="00F9743E" w:rsidSect="00D50147">
      <w:footerReference w:type="default" r:id="rId9"/>
      <w:footerReference w:type="first" r:id="rId10"/>
      <w:pgSz w:w="11907" w:h="16840" w:code="9"/>
      <w:pgMar w:top="1134" w:right="851" w:bottom="1134" w:left="1077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EB36" w14:textId="77777777" w:rsidR="00F4735D" w:rsidRDefault="00F4735D">
      <w:r>
        <w:separator/>
      </w:r>
    </w:p>
  </w:endnote>
  <w:endnote w:type="continuationSeparator" w:id="0">
    <w:p w14:paraId="1D0C23E6" w14:textId="77777777" w:rsidR="00F4735D" w:rsidRDefault="00F4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B8A6" w14:textId="15F226B8" w:rsidR="001A5D9C" w:rsidRPr="00C170A3" w:rsidRDefault="001A5D9C">
    <w:pPr>
      <w:pStyle w:val="a4"/>
      <w:framePr w:wrap="around" w:vAnchor="text" w:hAnchor="margin" w:xAlign="right" w:y="1"/>
      <w:rPr>
        <w:rStyle w:val="a5"/>
        <w:rFonts w:ascii="Times New Roman" w:hAnsi="Times New Roman"/>
        <w:sz w:val="20"/>
      </w:rPr>
    </w:pPr>
    <w:r w:rsidRPr="00C170A3">
      <w:rPr>
        <w:rStyle w:val="a5"/>
        <w:rFonts w:ascii="Times New Roman" w:hAnsi="Times New Roman"/>
        <w:sz w:val="20"/>
      </w:rPr>
      <w:fldChar w:fldCharType="begin"/>
    </w:r>
    <w:r w:rsidRPr="00C170A3">
      <w:rPr>
        <w:rStyle w:val="a5"/>
        <w:rFonts w:ascii="Times New Roman" w:hAnsi="Times New Roman"/>
        <w:sz w:val="20"/>
      </w:rPr>
      <w:instrText xml:space="preserve">PAGE  </w:instrText>
    </w:r>
    <w:r w:rsidRPr="00C170A3">
      <w:rPr>
        <w:rStyle w:val="a5"/>
        <w:rFonts w:ascii="Times New Roman" w:hAnsi="Times New Roman"/>
        <w:sz w:val="20"/>
      </w:rPr>
      <w:fldChar w:fldCharType="separate"/>
    </w:r>
    <w:r w:rsidR="00DB4482">
      <w:rPr>
        <w:rStyle w:val="a5"/>
        <w:rFonts w:ascii="Times New Roman" w:hAnsi="Times New Roman"/>
        <w:sz w:val="20"/>
      </w:rPr>
      <w:t>2</w:t>
    </w:r>
    <w:r w:rsidRPr="00C170A3">
      <w:rPr>
        <w:rStyle w:val="a5"/>
        <w:rFonts w:ascii="Times New Roman" w:hAnsi="Times New Roman"/>
        <w:sz w:val="20"/>
      </w:rPr>
      <w:fldChar w:fldCharType="end"/>
    </w:r>
  </w:p>
  <w:p w14:paraId="5C5DA7B9" w14:textId="77777777" w:rsidR="001A5D9C" w:rsidRPr="004A72AB" w:rsidRDefault="001A5D9C" w:rsidP="0072771F">
    <w:pPr>
      <w:pStyle w:val="a4"/>
      <w:ind w:right="360"/>
      <w:rPr>
        <w:noProof w:val="0"/>
        <w:color w:val="FFFFFF"/>
        <w:sz w:val="20"/>
      </w:rPr>
    </w:pPr>
    <w:r w:rsidRPr="004A72AB">
      <w:rPr>
        <w:noProof w:val="0"/>
        <w:color w:val="FFFFFF"/>
        <w:sz w:val="20"/>
      </w:rPr>
      <w:tab/>
      <w:t>\i1\</w:t>
    </w:r>
    <w:r w:rsidRPr="004A72AB">
      <w:rPr>
        <w:noProof w:val="0"/>
        <w:color w:val="FFFFFF"/>
        <w:sz w:val="20"/>
      </w:rPr>
      <w:tab/>
      <w:t>\i3\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9D4E" w14:textId="77777777" w:rsidR="001A5D9C" w:rsidRPr="00F76E10" w:rsidRDefault="001A5D9C">
    <w:pPr>
      <w:pStyle w:val="a4"/>
      <w:rPr>
        <w:color w:val="FFFFFF"/>
      </w:rPr>
    </w:pPr>
    <w:r>
      <w:tab/>
    </w:r>
    <w:r w:rsidRPr="00F76E10">
      <w:rPr>
        <w:color w:val="FFFFFF"/>
      </w:rPr>
      <w:t>\i1\</w:t>
    </w:r>
    <w:r w:rsidRPr="00F76E10">
      <w:rPr>
        <w:color w:val="FFFFFF"/>
      </w:rPr>
      <w:tab/>
      <w:t>\i3\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9DDD" w14:textId="77777777" w:rsidR="00F4735D" w:rsidRDefault="00F4735D">
      <w:r>
        <w:separator/>
      </w:r>
    </w:p>
  </w:footnote>
  <w:footnote w:type="continuationSeparator" w:id="0">
    <w:p w14:paraId="65A10590" w14:textId="77777777" w:rsidR="00F4735D" w:rsidRDefault="00F4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9EE"/>
    <w:multiLevelType w:val="hybridMultilevel"/>
    <w:tmpl w:val="067E50E2"/>
    <w:lvl w:ilvl="0" w:tplc="FFFFFFFF">
      <w:numFmt w:val="bullet"/>
      <w:lvlText w:val="–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11E6FCD0">
      <w:numFmt w:val="bullet"/>
      <w:lvlText w:val="–"/>
      <w:lvlJc w:val="left"/>
      <w:pPr>
        <w:ind w:left="1800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F6F1F"/>
    <w:multiLevelType w:val="hybridMultilevel"/>
    <w:tmpl w:val="2B92FABC"/>
    <w:lvl w:ilvl="0" w:tplc="11E6FCD0">
      <w:numFmt w:val="bullet"/>
      <w:lvlText w:val="–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B5D2DF96">
      <w:start w:val="3"/>
      <w:numFmt w:val="bullet"/>
      <w:lvlText w:val="—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F1B97"/>
    <w:multiLevelType w:val="hybridMultilevel"/>
    <w:tmpl w:val="9244D3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3A7"/>
    <w:multiLevelType w:val="hybridMultilevel"/>
    <w:tmpl w:val="22CC2E8C"/>
    <w:lvl w:ilvl="0" w:tplc="FFFFFFFF">
      <w:numFmt w:val="bullet"/>
      <w:lvlText w:val="–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11E6FCD0">
      <w:numFmt w:val="bullet"/>
      <w:lvlText w:val="–"/>
      <w:lvlJc w:val="left"/>
      <w:pPr>
        <w:ind w:left="1800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94CC5"/>
    <w:multiLevelType w:val="hybridMultilevel"/>
    <w:tmpl w:val="C826FC20"/>
    <w:lvl w:ilvl="0" w:tplc="11E6FCD0">
      <w:numFmt w:val="bullet"/>
      <w:lvlText w:val="–"/>
      <w:lvlJc w:val="left"/>
      <w:pPr>
        <w:ind w:left="216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8B7E7E"/>
    <w:multiLevelType w:val="hybridMultilevel"/>
    <w:tmpl w:val="E4DE99A6"/>
    <w:lvl w:ilvl="0" w:tplc="FFFFFFFF">
      <w:numFmt w:val="bullet"/>
      <w:lvlText w:val="–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11E6FCD0">
      <w:numFmt w:val="bullet"/>
      <w:lvlText w:val="–"/>
      <w:lvlJc w:val="left"/>
      <w:pPr>
        <w:ind w:left="1800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56348"/>
    <w:multiLevelType w:val="hybridMultilevel"/>
    <w:tmpl w:val="2FE6D728"/>
    <w:lvl w:ilvl="0" w:tplc="FFFFFFFF">
      <w:numFmt w:val="bullet"/>
      <w:lvlText w:val="–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11E6FCD0">
      <w:numFmt w:val="bullet"/>
      <w:lvlText w:val="–"/>
      <w:lvlJc w:val="left"/>
      <w:pPr>
        <w:ind w:left="1800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D30FB4"/>
    <w:multiLevelType w:val="hybridMultilevel"/>
    <w:tmpl w:val="1480E498"/>
    <w:lvl w:ilvl="0" w:tplc="FFFFFFFF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11E6FCD0">
      <w:numFmt w:val="bullet"/>
      <w:lvlText w:val="–"/>
      <w:lvlJc w:val="left"/>
      <w:pPr>
        <w:ind w:left="1800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03FBD"/>
    <w:multiLevelType w:val="hybridMultilevel"/>
    <w:tmpl w:val="FB9AE78C"/>
    <w:lvl w:ilvl="0" w:tplc="FFFFFFFF">
      <w:numFmt w:val="bullet"/>
      <w:lvlText w:val="–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11E6FCD0">
      <w:numFmt w:val="bullet"/>
      <w:lvlText w:val="–"/>
      <w:lvlJc w:val="left"/>
      <w:pPr>
        <w:ind w:left="1800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B724B0"/>
    <w:multiLevelType w:val="hybridMultilevel"/>
    <w:tmpl w:val="DCCC0C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116A9"/>
    <w:multiLevelType w:val="multilevel"/>
    <w:tmpl w:val="E278D82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0375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829704">
    <w:abstractNumId w:val="1"/>
  </w:num>
  <w:num w:numId="3" w16cid:durableId="1133521521">
    <w:abstractNumId w:val="9"/>
  </w:num>
  <w:num w:numId="4" w16cid:durableId="1974630537">
    <w:abstractNumId w:val="5"/>
  </w:num>
  <w:num w:numId="5" w16cid:durableId="376125330">
    <w:abstractNumId w:val="6"/>
  </w:num>
  <w:num w:numId="6" w16cid:durableId="1787389735">
    <w:abstractNumId w:val="8"/>
  </w:num>
  <w:num w:numId="7" w16cid:durableId="690570952">
    <w:abstractNumId w:val="4"/>
  </w:num>
  <w:num w:numId="8" w16cid:durableId="961690801">
    <w:abstractNumId w:val="3"/>
  </w:num>
  <w:num w:numId="9" w16cid:durableId="2087337120">
    <w:abstractNumId w:val="0"/>
  </w:num>
  <w:num w:numId="10" w16cid:durableId="732235666">
    <w:abstractNumId w:val="7"/>
  </w:num>
  <w:num w:numId="11" w16cid:durableId="4594250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3B"/>
    <w:rsid w:val="00006930"/>
    <w:rsid w:val="00010207"/>
    <w:rsid w:val="0001091F"/>
    <w:rsid w:val="000112C0"/>
    <w:rsid w:val="00013140"/>
    <w:rsid w:val="00013A21"/>
    <w:rsid w:val="000150CF"/>
    <w:rsid w:val="00015997"/>
    <w:rsid w:val="0002390D"/>
    <w:rsid w:val="00023C8E"/>
    <w:rsid w:val="00024472"/>
    <w:rsid w:val="000279B1"/>
    <w:rsid w:val="000323D9"/>
    <w:rsid w:val="00032F9B"/>
    <w:rsid w:val="00033B70"/>
    <w:rsid w:val="00035B20"/>
    <w:rsid w:val="00045C8C"/>
    <w:rsid w:val="0004764E"/>
    <w:rsid w:val="0005197E"/>
    <w:rsid w:val="00057040"/>
    <w:rsid w:val="00063E62"/>
    <w:rsid w:val="00070342"/>
    <w:rsid w:val="000748AC"/>
    <w:rsid w:val="000748F0"/>
    <w:rsid w:val="00084F80"/>
    <w:rsid w:val="000851FD"/>
    <w:rsid w:val="00085CDF"/>
    <w:rsid w:val="00087AE0"/>
    <w:rsid w:val="000904A6"/>
    <w:rsid w:val="00091189"/>
    <w:rsid w:val="00092BBF"/>
    <w:rsid w:val="0009626C"/>
    <w:rsid w:val="000A10FB"/>
    <w:rsid w:val="000A19D4"/>
    <w:rsid w:val="000A2C6F"/>
    <w:rsid w:val="000A6075"/>
    <w:rsid w:val="000B1551"/>
    <w:rsid w:val="000B2A6A"/>
    <w:rsid w:val="000B32A6"/>
    <w:rsid w:val="000B5EC4"/>
    <w:rsid w:val="000C09B4"/>
    <w:rsid w:val="000C2A0F"/>
    <w:rsid w:val="000C2BC3"/>
    <w:rsid w:val="000C4E72"/>
    <w:rsid w:val="000D2AF4"/>
    <w:rsid w:val="000D2BAE"/>
    <w:rsid w:val="000D3C5D"/>
    <w:rsid w:val="000D44E1"/>
    <w:rsid w:val="000D73F4"/>
    <w:rsid w:val="000E020A"/>
    <w:rsid w:val="000E1A37"/>
    <w:rsid w:val="000E39E8"/>
    <w:rsid w:val="000F4AA7"/>
    <w:rsid w:val="000F5FE0"/>
    <w:rsid w:val="000F6459"/>
    <w:rsid w:val="00100952"/>
    <w:rsid w:val="0010168B"/>
    <w:rsid w:val="00113A7E"/>
    <w:rsid w:val="00116FA9"/>
    <w:rsid w:val="00122373"/>
    <w:rsid w:val="00123090"/>
    <w:rsid w:val="00125557"/>
    <w:rsid w:val="00126880"/>
    <w:rsid w:val="00133026"/>
    <w:rsid w:val="00134A94"/>
    <w:rsid w:val="00140E46"/>
    <w:rsid w:val="001422E7"/>
    <w:rsid w:val="001426C4"/>
    <w:rsid w:val="00144407"/>
    <w:rsid w:val="0014683C"/>
    <w:rsid w:val="00146A3B"/>
    <w:rsid w:val="00147114"/>
    <w:rsid w:val="00152558"/>
    <w:rsid w:val="001546F5"/>
    <w:rsid w:val="001557CC"/>
    <w:rsid w:val="00170503"/>
    <w:rsid w:val="00177EC3"/>
    <w:rsid w:val="00182EAB"/>
    <w:rsid w:val="0018311C"/>
    <w:rsid w:val="001A1FC0"/>
    <w:rsid w:val="001A2744"/>
    <w:rsid w:val="001A5D9C"/>
    <w:rsid w:val="001A6C2D"/>
    <w:rsid w:val="001B499E"/>
    <w:rsid w:val="001B58FD"/>
    <w:rsid w:val="001C38C3"/>
    <w:rsid w:val="001C5AC3"/>
    <w:rsid w:val="001C6DE9"/>
    <w:rsid w:val="001C711A"/>
    <w:rsid w:val="001D2956"/>
    <w:rsid w:val="001E101A"/>
    <w:rsid w:val="001E4AAA"/>
    <w:rsid w:val="001E4B24"/>
    <w:rsid w:val="001F0CBC"/>
    <w:rsid w:val="001F11CB"/>
    <w:rsid w:val="001F1734"/>
    <w:rsid w:val="001F6A5F"/>
    <w:rsid w:val="002036D3"/>
    <w:rsid w:val="0020744F"/>
    <w:rsid w:val="00210739"/>
    <w:rsid w:val="00210E2D"/>
    <w:rsid w:val="00215B92"/>
    <w:rsid w:val="00216191"/>
    <w:rsid w:val="00222EF8"/>
    <w:rsid w:val="00223C1E"/>
    <w:rsid w:val="0022625A"/>
    <w:rsid w:val="00231A73"/>
    <w:rsid w:val="0023377D"/>
    <w:rsid w:val="00243924"/>
    <w:rsid w:val="00244E62"/>
    <w:rsid w:val="0025095F"/>
    <w:rsid w:val="0025176A"/>
    <w:rsid w:val="00254955"/>
    <w:rsid w:val="00254C1B"/>
    <w:rsid w:val="002571D3"/>
    <w:rsid w:val="00257DCE"/>
    <w:rsid w:val="00263841"/>
    <w:rsid w:val="00265BE5"/>
    <w:rsid w:val="002674EE"/>
    <w:rsid w:val="0027098C"/>
    <w:rsid w:val="00272B53"/>
    <w:rsid w:val="0028039F"/>
    <w:rsid w:val="00281FCB"/>
    <w:rsid w:val="00284578"/>
    <w:rsid w:val="00286995"/>
    <w:rsid w:val="00287201"/>
    <w:rsid w:val="00291A43"/>
    <w:rsid w:val="002A32B7"/>
    <w:rsid w:val="002A4B1B"/>
    <w:rsid w:val="002A5391"/>
    <w:rsid w:val="002B03E2"/>
    <w:rsid w:val="002B161D"/>
    <w:rsid w:val="002B394A"/>
    <w:rsid w:val="002B6DEE"/>
    <w:rsid w:val="002B7798"/>
    <w:rsid w:val="002C1B1D"/>
    <w:rsid w:val="002C67F8"/>
    <w:rsid w:val="002C7671"/>
    <w:rsid w:val="002D7F64"/>
    <w:rsid w:val="002F165F"/>
    <w:rsid w:val="002F5CDD"/>
    <w:rsid w:val="00304179"/>
    <w:rsid w:val="0031161F"/>
    <w:rsid w:val="003200BA"/>
    <w:rsid w:val="00320341"/>
    <w:rsid w:val="003213C7"/>
    <w:rsid w:val="0032224A"/>
    <w:rsid w:val="003241A0"/>
    <w:rsid w:val="003269C4"/>
    <w:rsid w:val="00327179"/>
    <w:rsid w:val="003425CA"/>
    <w:rsid w:val="00346730"/>
    <w:rsid w:val="00352E8C"/>
    <w:rsid w:val="003538AD"/>
    <w:rsid w:val="00356238"/>
    <w:rsid w:val="00357F69"/>
    <w:rsid w:val="0036341D"/>
    <w:rsid w:val="00365526"/>
    <w:rsid w:val="0036775A"/>
    <w:rsid w:val="00370563"/>
    <w:rsid w:val="00371E8C"/>
    <w:rsid w:val="0037704C"/>
    <w:rsid w:val="00384B7C"/>
    <w:rsid w:val="00387AE2"/>
    <w:rsid w:val="00390183"/>
    <w:rsid w:val="003925E9"/>
    <w:rsid w:val="003A23B8"/>
    <w:rsid w:val="003A56E1"/>
    <w:rsid w:val="003B0D25"/>
    <w:rsid w:val="003B13F0"/>
    <w:rsid w:val="003B1B86"/>
    <w:rsid w:val="003B5A58"/>
    <w:rsid w:val="003B5C04"/>
    <w:rsid w:val="003B6DB5"/>
    <w:rsid w:val="003B7102"/>
    <w:rsid w:val="003C1E47"/>
    <w:rsid w:val="003C273C"/>
    <w:rsid w:val="003E0A10"/>
    <w:rsid w:val="003E73DF"/>
    <w:rsid w:val="003E7F26"/>
    <w:rsid w:val="003F0154"/>
    <w:rsid w:val="003F1746"/>
    <w:rsid w:val="004047CE"/>
    <w:rsid w:val="00404EFB"/>
    <w:rsid w:val="004077A1"/>
    <w:rsid w:val="00410F5F"/>
    <w:rsid w:val="00411713"/>
    <w:rsid w:val="00415829"/>
    <w:rsid w:val="00415B2C"/>
    <w:rsid w:val="004258DC"/>
    <w:rsid w:val="00426786"/>
    <w:rsid w:val="00430B03"/>
    <w:rsid w:val="00431D0C"/>
    <w:rsid w:val="004351DD"/>
    <w:rsid w:val="0044171D"/>
    <w:rsid w:val="004434A3"/>
    <w:rsid w:val="00446EB0"/>
    <w:rsid w:val="00447001"/>
    <w:rsid w:val="00447626"/>
    <w:rsid w:val="00452227"/>
    <w:rsid w:val="00452952"/>
    <w:rsid w:val="004531F8"/>
    <w:rsid w:val="00455828"/>
    <w:rsid w:val="00456770"/>
    <w:rsid w:val="00460D14"/>
    <w:rsid w:val="00461C49"/>
    <w:rsid w:val="0046215A"/>
    <w:rsid w:val="0046551D"/>
    <w:rsid w:val="0046660B"/>
    <w:rsid w:val="00466821"/>
    <w:rsid w:val="00471D32"/>
    <w:rsid w:val="00475AC6"/>
    <w:rsid w:val="004802CE"/>
    <w:rsid w:val="00482604"/>
    <w:rsid w:val="00491FE0"/>
    <w:rsid w:val="00492C18"/>
    <w:rsid w:val="0049721D"/>
    <w:rsid w:val="004A2DBE"/>
    <w:rsid w:val="004A679F"/>
    <w:rsid w:val="004A72AB"/>
    <w:rsid w:val="004B247D"/>
    <w:rsid w:val="004B3957"/>
    <w:rsid w:val="004C7E85"/>
    <w:rsid w:val="004D0FAE"/>
    <w:rsid w:val="004D328E"/>
    <w:rsid w:val="004D5437"/>
    <w:rsid w:val="004D5A84"/>
    <w:rsid w:val="004D60B6"/>
    <w:rsid w:val="004E116D"/>
    <w:rsid w:val="004E2453"/>
    <w:rsid w:val="004E6466"/>
    <w:rsid w:val="004F20AE"/>
    <w:rsid w:val="004F2DE7"/>
    <w:rsid w:val="004F65BB"/>
    <w:rsid w:val="004F73A1"/>
    <w:rsid w:val="004F7C6A"/>
    <w:rsid w:val="00501758"/>
    <w:rsid w:val="00502638"/>
    <w:rsid w:val="005030A2"/>
    <w:rsid w:val="00504ED9"/>
    <w:rsid w:val="0050770C"/>
    <w:rsid w:val="00507F7D"/>
    <w:rsid w:val="00511CD3"/>
    <w:rsid w:val="0051232A"/>
    <w:rsid w:val="005132F7"/>
    <w:rsid w:val="0051592E"/>
    <w:rsid w:val="005168AF"/>
    <w:rsid w:val="00517544"/>
    <w:rsid w:val="00517872"/>
    <w:rsid w:val="00520EEE"/>
    <w:rsid w:val="00521172"/>
    <w:rsid w:val="00521D2D"/>
    <w:rsid w:val="005302ED"/>
    <w:rsid w:val="00540166"/>
    <w:rsid w:val="00546632"/>
    <w:rsid w:val="00552298"/>
    <w:rsid w:val="00553BE2"/>
    <w:rsid w:val="0055407B"/>
    <w:rsid w:val="005572FB"/>
    <w:rsid w:val="00567207"/>
    <w:rsid w:val="00570B06"/>
    <w:rsid w:val="005730B5"/>
    <w:rsid w:val="005779B5"/>
    <w:rsid w:val="00581CC9"/>
    <w:rsid w:val="00583554"/>
    <w:rsid w:val="00584582"/>
    <w:rsid w:val="00584C15"/>
    <w:rsid w:val="005908FF"/>
    <w:rsid w:val="0059120F"/>
    <w:rsid w:val="005922AC"/>
    <w:rsid w:val="005942E2"/>
    <w:rsid w:val="005954F1"/>
    <w:rsid w:val="00596352"/>
    <w:rsid w:val="005974A4"/>
    <w:rsid w:val="005A087A"/>
    <w:rsid w:val="005A1D77"/>
    <w:rsid w:val="005A3274"/>
    <w:rsid w:val="005A3FD0"/>
    <w:rsid w:val="005B1C44"/>
    <w:rsid w:val="005B3831"/>
    <w:rsid w:val="005B577E"/>
    <w:rsid w:val="005B7DF0"/>
    <w:rsid w:val="005C5F47"/>
    <w:rsid w:val="005C68DB"/>
    <w:rsid w:val="005D05FE"/>
    <w:rsid w:val="005D12B2"/>
    <w:rsid w:val="005E2E37"/>
    <w:rsid w:val="005E3CF8"/>
    <w:rsid w:val="005E3D00"/>
    <w:rsid w:val="005F09D2"/>
    <w:rsid w:val="005F3E5B"/>
    <w:rsid w:val="005F58F0"/>
    <w:rsid w:val="005F665B"/>
    <w:rsid w:val="006003DA"/>
    <w:rsid w:val="006028DC"/>
    <w:rsid w:val="00604C01"/>
    <w:rsid w:val="00604C5D"/>
    <w:rsid w:val="006052B6"/>
    <w:rsid w:val="006065A7"/>
    <w:rsid w:val="00612216"/>
    <w:rsid w:val="00617565"/>
    <w:rsid w:val="00620FE1"/>
    <w:rsid w:val="00622093"/>
    <w:rsid w:val="00622841"/>
    <w:rsid w:val="00631984"/>
    <w:rsid w:val="00636A88"/>
    <w:rsid w:val="0064046A"/>
    <w:rsid w:val="0064266C"/>
    <w:rsid w:val="00646F41"/>
    <w:rsid w:val="006477A7"/>
    <w:rsid w:val="006510F1"/>
    <w:rsid w:val="00657DBB"/>
    <w:rsid w:val="00665331"/>
    <w:rsid w:val="0067151A"/>
    <w:rsid w:val="006750CF"/>
    <w:rsid w:val="0067649A"/>
    <w:rsid w:val="006768EE"/>
    <w:rsid w:val="00682DE0"/>
    <w:rsid w:val="00684BC9"/>
    <w:rsid w:val="00693C1F"/>
    <w:rsid w:val="006A11E2"/>
    <w:rsid w:val="006A1C88"/>
    <w:rsid w:val="006A2502"/>
    <w:rsid w:val="006A374C"/>
    <w:rsid w:val="006A4FB5"/>
    <w:rsid w:val="006A5BC9"/>
    <w:rsid w:val="006A6CF2"/>
    <w:rsid w:val="006B0DBA"/>
    <w:rsid w:val="006B4DCB"/>
    <w:rsid w:val="006B5D51"/>
    <w:rsid w:val="006C0B43"/>
    <w:rsid w:val="006C143B"/>
    <w:rsid w:val="006C1E2E"/>
    <w:rsid w:val="006C44BE"/>
    <w:rsid w:val="006C52DC"/>
    <w:rsid w:val="006C5DE4"/>
    <w:rsid w:val="006D0B2D"/>
    <w:rsid w:val="006D49FE"/>
    <w:rsid w:val="006E0699"/>
    <w:rsid w:val="006E7AC4"/>
    <w:rsid w:val="006E7DFA"/>
    <w:rsid w:val="006F43BE"/>
    <w:rsid w:val="0070071B"/>
    <w:rsid w:val="0071074D"/>
    <w:rsid w:val="007108E1"/>
    <w:rsid w:val="0071551E"/>
    <w:rsid w:val="00722EDF"/>
    <w:rsid w:val="0072771F"/>
    <w:rsid w:val="00731C62"/>
    <w:rsid w:val="00731F17"/>
    <w:rsid w:val="00733DD0"/>
    <w:rsid w:val="00735A89"/>
    <w:rsid w:val="00736480"/>
    <w:rsid w:val="00741CF4"/>
    <w:rsid w:val="00743973"/>
    <w:rsid w:val="0074422B"/>
    <w:rsid w:val="0075080C"/>
    <w:rsid w:val="00753453"/>
    <w:rsid w:val="007606C9"/>
    <w:rsid w:val="007937C5"/>
    <w:rsid w:val="00795BAF"/>
    <w:rsid w:val="00796306"/>
    <w:rsid w:val="00797F14"/>
    <w:rsid w:val="007A1F4D"/>
    <w:rsid w:val="007A3996"/>
    <w:rsid w:val="007A3D52"/>
    <w:rsid w:val="007A679F"/>
    <w:rsid w:val="007A6C7D"/>
    <w:rsid w:val="007B5703"/>
    <w:rsid w:val="007B6859"/>
    <w:rsid w:val="007C1155"/>
    <w:rsid w:val="007C3964"/>
    <w:rsid w:val="007C3EC3"/>
    <w:rsid w:val="007C4162"/>
    <w:rsid w:val="007D21C1"/>
    <w:rsid w:val="007D7C46"/>
    <w:rsid w:val="007E258D"/>
    <w:rsid w:val="007E3BDB"/>
    <w:rsid w:val="007E4BF1"/>
    <w:rsid w:val="007E6973"/>
    <w:rsid w:val="007E7B31"/>
    <w:rsid w:val="007F2E6A"/>
    <w:rsid w:val="00804897"/>
    <w:rsid w:val="00805132"/>
    <w:rsid w:val="00807CFC"/>
    <w:rsid w:val="008164AD"/>
    <w:rsid w:val="00816D3A"/>
    <w:rsid w:val="00832A87"/>
    <w:rsid w:val="0084305F"/>
    <w:rsid w:val="00845163"/>
    <w:rsid w:val="00850C57"/>
    <w:rsid w:val="00852B0A"/>
    <w:rsid w:val="008578A0"/>
    <w:rsid w:val="008600D8"/>
    <w:rsid w:val="00860819"/>
    <w:rsid w:val="008665F2"/>
    <w:rsid w:val="00867B54"/>
    <w:rsid w:val="008759B9"/>
    <w:rsid w:val="00882D44"/>
    <w:rsid w:val="00885482"/>
    <w:rsid w:val="00886E5D"/>
    <w:rsid w:val="00892565"/>
    <w:rsid w:val="00896BD6"/>
    <w:rsid w:val="008A49B5"/>
    <w:rsid w:val="008A4D58"/>
    <w:rsid w:val="008A75F5"/>
    <w:rsid w:val="008B1B5E"/>
    <w:rsid w:val="008B33A8"/>
    <w:rsid w:val="008B647A"/>
    <w:rsid w:val="008C09A8"/>
    <w:rsid w:val="008C1653"/>
    <w:rsid w:val="008C26FC"/>
    <w:rsid w:val="008C3D55"/>
    <w:rsid w:val="008C3E85"/>
    <w:rsid w:val="008D6EB7"/>
    <w:rsid w:val="008E0FD4"/>
    <w:rsid w:val="008E1937"/>
    <w:rsid w:val="008E3488"/>
    <w:rsid w:val="008E46FF"/>
    <w:rsid w:val="008E7A0A"/>
    <w:rsid w:val="008E7B06"/>
    <w:rsid w:val="009024A8"/>
    <w:rsid w:val="00903131"/>
    <w:rsid w:val="009066FA"/>
    <w:rsid w:val="00907492"/>
    <w:rsid w:val="009121FF"/>
    <w:rsid w:val="0091431C"/>
    <w:rsid w:val="0091715C"/>
    <w:rsid w:val="00920E85"/>
    <w:rsid w:val="00925C96"/>
    <w:rsid w:val="009311B8"/>
    <w:rsid w:val="00932011"/>
    <w:rsid w:val="00933394"/>
    <w:rsid w:val="00935D88"/>
    <w:rsid w:val="009364AE"/>
    <w:rsid w:val="00945BB9"/>
    <w:rsid w:val="00953E8C"/>
    <w:rsid w:val="00957F39"/>
    <w:rsid w:val="00960E33"/>
    <w:rsid w:val="00961EE2"/>
    <w:rsid w:val="00962418"/>
    <w:rsid w:val="009658FF"/>
    <w:rsid w:val="009664A9"/>
    <w:rsid w:val="0097095A"/>
    <w:rsid w:val="00973A86"/>
    <w:rsid w:val="009740B1"/>
    <w:rsid w:val="00980A57"/>
    <w:rsid w:val="00985007"/>
    <w:rsid w:val="00991486"/>
    <w:rsid w:val="00991861"/>
    <w:rsid w:val="00993270"/>
    <w:rsid w:val="009970DB"/>
    <w:rsid w:val="00997165"/>
    <w:rsid w:val="009A5808"/>
    <w:rsid w:val="009A64B3"/>
    <w:rsid w:val="009A6C33"/>
    <w:rsid w:val="009B089B"/>
    <w:rsid w:val="009B5AA1"/>
    <w:rsid w:val="009B772D"/>
    <w:rsid w:val="009B79CE"/>
    <w:rsid w:val="009D1215"/>
    <w:rsid w:val="009D34FA"/>
    <w:rsid w:val="009D495F"/>
    <w:rsid w:val="009E1CD0"/>
    <w:rsid w:val="009E66F1"/>
    <w:rsid w:val="009F17DE"/>
    <w:rsid w:val="009F3B67"/>
    <w:rsid w:val="00A000E5"/>
    <w:rsid w:val="00A02157"/>
    <w:rsid w:val="00A027C5"/>
    <w:rsid w:val="00A0444A"/>
    <w:rsid w:val="00A1665E"/>
    <w:rsid w:val="00A20524"/>
    <w:rsid w:val="00A22902"/>
    <w:rsid w:val="00A2434E"/>
    <w:rsid w:val="00A263CC"/>
    <w:rsid w:val="00A33519"/>
    <w:rsid w:val="00A34BB6"/>
    <w:rsid w:val="00A41B1E"/>
    <w:rsid w:val="00A43106"/>
    <w:rsid w:val="00A44623"/>
    <w:rsid w:val="00A4675F"/>
    <w:rsid w:val="00A524A6"/>
    <w:rsid w:val="00A54660"/>
    <w:rsid w:val="00A56214"/>
    <w:rsid w:val="00A60669"/>
    <w:rsid w:val="00A60B20"/>
    <w:rsid w:val="00A62B2D"/>
    <w:rsid w:val="00A6360E"/>
    <w:rsid w:val="00A70274"/>
    <w:rsid w:val="00A70C71"/>
    <w:rsid w:val="00A73034"/>
    <w:rsid w:val="00A77227"/>
    <w:rsid w:val="00A82D0C"/>
    <w:rsid w:val="00A87C9F"/>
    <w:rsid w:val="00A95DE9"/>
    <w:rsid w:val="00A97A7E"/>
    <w:rsid w:val="00AA12CB"/>
    <w:rsid w:val="00AA3C3D"/>
    <w:rsid w:val="00AA3ECF"/>
    <w:rsid w:val="00AA4188"/>
    <w:rsid w:val="00AA4344"/>
    <w:rsid w:val="00AA49DE"/>
    <w:rsid w:val="00AA5F13"/>
    <w:rsid w:val="00AA7607"/>
    <w:rsid w:val="00AA7D0B"/>
    <w:rsid w:val="00AB4A86"/>
    <w:rsid w:val="00AB787A"/>
    <w:rsid w:val="00AC028B"/>
    <w:rsid w:val="00AC32BA"/>
    <w:rsid w:val="00AC776E"/>
    <w:rsid w:val="00AD13F4"/>
    <w:rsid w:val="00AE1766"/>
    <w:rsid w:val="00AE1813"/>
    <w:rsid w:val="00AE285F"/>
    <w:rsid w:val="00AE530E"/>
    <w:rsid w:val="00AF1271"/>
    <w:rsid w:val="00AF13D5"/>
    <w:rsid w:val="00AF4248"/>
    <w:rsid w:val="00AF7575"/>
    <w:rsid w:val="00B0192C"/>
    <w:rsid w:val="00B11ED3"/>
    <w:rsid w:val="00B22769"/>
    <w:rsid w:val="00B26F3A"/>
    <w:rsid w:val="00B27D2D"/>
    <w:rsid w:val="00B31E5A"/>
    <w:rsid w:val="00B32BC0"/>
    <w:rsid w:val="00B330DC"/>
    <w:rsid w:val="00B344E4"/>
    <w:rsid w:val="00B35BA5"/>
    <w:rsid w:val="00B376ED"/>
    <w:rsid w:val="00B405C5"/>
    <w:rsid w:val="00B421A4"/>
    <w:rsid w:val="00B47A5F"/>
    <w:rsid w:val="00B523A3"/>
    <w:rsid w:val="00B53D21"/>
    <w:rsid w:val="00B54072"/>
    <w:rsid w:val="00B54FC3"/>
    <w:rsid w:val="00B56EE5"/>
    <w:rsid w:val="00B6305A"/>
    <w:rsid w:val="00B630AC"/>
    <w:rsid w:val="00B63DA7"/>
    <w:rsid w:val="00B7590F"/>
    <w:rsid w:val="00B83AC7"/>
    <w:rsid w:val="00B859AD"/>
    <w:rsid w:val="00B908A0"/>
    <w:rsid w:val="00B91B44"/>
    <w:rsid w:val="00B94B16"/>
    <w:rsid w:val="00BA29A3"/>
    <w:rsid w:val="00BA34F2"/>
    <w:rsid w:val="00BA5BBF"/>
    <w:rsid w:val="00BA73F1"/>
    <w:rsid w:val="00BA778E"/>
    <w:rsid w:val="00BA779D"/>
    <w:rsid w:val="00BB2A86"/>
    <w:rsid w:val="00BB6588"/>
    <w:rsid w:val="00BC0658"/>
    <w:rsid w:val="00BC34D2"/>
    <w:rsid w:val="00BC7BA8"/>
    <w:rsid w:val="00BD0A34"/>
    <w:rsid w:val="00BD18AE"/>
    <w:rsid w:val="00BD29CA"/>
    <w:rsid w:val="00BD6258"/>
    <w:rsid w:val="00BE37DB"/>
    <w:rsid w:val="00BE69BC"/>
    <w:rsid w:val="00BF44DE"/>
    <w:rsid w:val="00BF6012"/>
    <w:rsid w:val="00C0153B"/>
    <w:rsid w:val="00C04BAA"/>
    <w:rsid w:val="00C05736"/>
    <w:rsid w:val="00C05ACC"/>
    <w:rsid w:val="00C12BC6"/>
    <w:rsid w:val="00C144AB"/>
    <w:rsid w:val="00C163A8"/>
    <w:rsid w:val="00C170A3"/>
    <w:rsid w:val="00C23852"/>
    <w:rsid w:val="00C26F53"/>
    <w:rsid w:val="00C26FF2"/>
    <w:rsid w:val="00C330D7"/>
    <w:rsid w:val="00C36CFA"/>
    <w:rsid w:val="00C41EA0"/>
    <w:rsid w:val="00C43896"/>
    <w:rsid w:val="00C44FAF"/>
    <w:rsid w:val="00C45806"/>
    <w:rsid w:val="00C52A07"/>
    <w:rsid w:val="00C605D5"/>
    <w:rsid w:val="00C606B4"/>
    <w:rsid w:val="00C61827"/>
    <w:rsid w:val="00C62B78"/>
    <w:rsid w:val="00C63E65"/>
    <w:rsid w:val="00C673F4"/>
    <w:rsid w:val="00C6757B"/>
    <w:rsid w:val="00C7421E"/>
    <w:rsid w:val="00C7450D"/>
    <w:rsid w:val="00C76BAB"/>
    <w:rsid w:val="00C77FA9"/>
    <w:rsid w:val="00C84702"/>
    <w:rsid w:val="00C85E3F"/>
    <w:rsid w:val="00C86F2E"/>
    <w:rsid w:val="00C9186D"/>
    <w:rsid w:val="00C94E2C"/>
    <w:rsid w:val="00C957EF"/>
    <w:rsid w:val="00CA06CD"/>
    <w:rsid w:val="00CA4391"/>
    <w:rsid w:val="00CA57F7"/>
    <w:rsid w:val="00CA62FD"/>
    <w:rsid w:val="00CB025F"/>
    <w:rsid w:val="00CB37F2"/>
    <w:rsid w:val="00CB44EB"/>
    <w:rsid w:val="00CB5C33"/>
    <w:rsid w:val="00CC07C8"/>
    <w:rsid w:val="00CC1127"/>
    <w:rsid w:val="00CC3A39"/>
    <w:rsid w:val="00CC737E"/>
    <w:rsid w:val="00CD2365"/>
    <w:rsid w:val="00CD7D20"/>
    <w:rsid w:val="00CE05F5"/>
    <w:rsid w:val="00CE4A69"/>
    <w:rsid w:val="00CF0226"/>
    <w:rsid w:val="00CF3672"/>
    <w:rsid w:val="00D00C39"/>
    <w:rsid w:val="00D01E20"/>
    <w:rsid w:val="00D03F12"/>
    <w:rsid w:val="00D056A0"/>
    <w:rsid w:val="00D07B48"/>
    <w:rsid w:val="00D07DB1"/>
    <w:rsid w:val="00D15B4F"/>
    <w:rsid w:val="00D16BFD"/>
    <w:rsid w:val="00D20274"/>
    <w:rsid w:val="00D220A3"/>
    <w:rsid w:val="00D24A3A"/>
    <w:rsid w:val="00D304CF"/>
    <w:rsid w:val="00D31E6E"/>
    <w:rsid w:val="00D35B17"/>
    <w:rsid w:val="00D36FFF"/>
    <w:rsid w:val="00D45853"/>
    <w:rsid w:val="00D469E7"/>
    <w:rsid w:val="00D471FB"/>
    <w:rsid w:val="00D47FC1"/>
    <w:rsid w:val="00D50147"/>
    <w:rsid w:val="00D50B5B"/>
    <w:rsid w:val="00D5198F"/>
    <w:rsid w:val="00D53552"/>
    <w:rsid w:val="00D55462"/>
    <w:rsid w:val="00D57997"/>
    <w:rsid w:val="00D57A0F"/>
    <w:rsid w:val="00D6093B"/>
    <w:rsid w:val="00D62BE0"/>
    <w:rsid w:val="00D672F9"/>
    <w:rsid w:val="00D74B52"/>
    <w:rsid w:val="00D77448"/>
    <w:rsid w:val="00D8295A"/>
    <w:rsid w:val="00D829C4"/>
    <w:rsid w:val="00D937AD"/>
    <w:rsid w:val="00D94B93"/>
    <w:rsid w:val="00DA6FF9"/>
    <w:rsid w:val="00DB4482"/>
    <w:rsid w:val="00DB6DD9"/>
    <w:rsid w:val="00DB7A2D"/>
    <w:rsid w:val="00DC4CD5"/>
    <w:rsid w:val="00DD0DF7"/>
    <w:rsid w:val="00DD3791"/>
    <w:rsid w:val="00DD4716"/>
    <w:rsid w:val="00DD6EDB"/>
    <w:rsid w:val="00DD7000"/>
    <w:rsid w:val="00DE18ED"/>
    <w:rsid w:val="00DE3859"/>
    <w:rsid w:val="00DE3C31"/>
    <w:rsid w:val="00DE55EE"/>
    <w:rsid w:val="00DF02D8"/>
    <w:rsid w:val="00DF08C0"/>
    <w:rsid w:val="00DF275A"/>
    <w:rsid w:val="00DF340E"/>
    <w:rsid w:val="00DF609C"/>
    <w:rsid w:val="00DF751B"/>
    <w:rsid w:val="00DF7C09"/>
    <w:rsid w:val="00E0391B"/>
    <w:rsid w:val="00E04CF8"/>
    <w:rsid w:val="00E10247"/>
    <w:rsid w:val="00E13660"/>
    <w:rsid w:val="00E16377"/>
    <w:rsid w:val="00E168D3"/>
    <w:rsid w:val="00E20A89"/>
    <w:rsid w:val="00E211C9"/>
    <w:rsid w:val="00E22DFB"/>
    <w:rsid w:val="00E25E84"/>
    <w:rsid w:val="00E334CA"/>
    <w:rsid w:val="00E37E16"/>
    <w:rsid w:val="00E40343"/>
    <w:rsid w:val="00E40AE3"/>
    <w:rsid w:val="00E45718"/>
    <w:rsid w:val="00E47D21"/>
    <w:rsid w:val="00E60459"/>
    <w:rsid w:val="00E6219B"/>
    <w:rsid w:val="00E62DA3"/>
    <w:rsid w:val="00E65831"/>
    <w:rsid w:val="00E70371"/>
    <w:rsid w:val="00E73349"/>
    <w:rsid w:val="00E8124A"/>
    <w:rsid w:val="00E85ADF"/>
    <w:rsid w:val="00E85FB3"/>
    <w:rsid w:val="00E90392"/>
    <w:rsid w:val="00E90845"/>
    <w:rsid w:val="00E92BF9"/>
    <w:rsid w:val="00E93F54"/>
    <w:rsid w:val="00E9615F"/>
    <w:rsid w:val="00E9625C"/>
    <w:rsid w:val="00EA220C"/>
    <w:rsid w:val="00EA629C"/>
    <w:rsid w:val="00EB6206"/>
    <w:rsid w:val="00EC0B65"/>
    <w:rsid w:val="00EC4675"/>
    <w:rsid w:val="00EC4B18"/>
    <w:rsid w:val="00EC6D08"/>
    <w:rsid w:val="00ED2DEC"/>
    <w:rsid w:val="00ED415E"/>
    <w:rsid w:val="00EE1CBC"/>
    <w:rsid w:val="00EE278C"/>
    <w:rsid w:val="00EE3142"/>
    <w:rsid w:val="00EE3962"/>
    <w:rsid w:val="00EE77AB"/>
    <w:rsid w:val="00EE78DA"/>
    <w:rsid w:val="00EF352D"/>
    <w:rsid w:val="00F012B6"/>
    <w:rsid w:val="00F01662"/>
    <w:rsid w:val="00F02B3B"/>
    <w:rsid w:val="00F1205E"/>
    <w:rsid w:val="00F139CB"/>
    <w:rsid w:val="00F17BF3"/>
    <w:rsid w:val="00F223BF"/>
    <w:rsid w:val="00F228BA"/>
    <w:rsid w:val="00F236C1"/>
    <w:rsid w:val="00F31DDC"/>
    <w:rsid w:val="00F31E85"/>
    <w:rsid w:val="00F440DF"/>
    <w:rsid w:val="00F44574"/>
    <w:rsid w:val="00F4735D"/>
    <w:rsid w:val="00F56481"/>
    <w:rsid w:val="00F6237F"/>
    <w:rsid w:val="00F6266C"/>
    <w:rsid w:val="00F63451"/>
    <w:rsid w:val="00F659A2"/>
    <w:rsid w:val="00F74E1D"/>
    <w:rsid w:val="00F758DD"/>
    <w:rsid w:val="00F75A87"/>
    <w:rsid w:val="00F76E10"/>
    <w:rsid w:val="00F770F6"/>
    <w:rsid w:val="00F82710"/>
    <w:rsid w:val="00F91D3C"/>
    <w:rsid w:val="00F92D4B"/>
    <w:rsid w:val="00F9597D"/>
    <w:rsid w:val="00F9743E"/>
    <w:rsid w:val="00FA0930"/>
    <w:rsid w:val="00FA3686"/>
    <w:rsid w:val="00FB19EA"/>
    <w:rsid w:val="00FB46F5"/>
    <w:rsid w:val="00FB747B"/>
    <w:rsid w:val="00FB7F9D"/>
    <w:rsid w:val="00FC1C8C"/>
    <w:rsid w:val="00FC2452"/>
    <w:rsid w:val="00FC47A0"/>
    <w:rsid w:val="00FC6FE1"/>
    <w:rsid w:val="00FD06B6"/>
    <w:rsid w:val="00FD5633"/>
    <w:rsid w:val="00FE7FF1"/>
    <w:rsid w:val="00FF62F3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BCD52"/>
  <w15:docId w15:val="{B7F96BF0-00FA-4EE0-BFA5-F27AA4B9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567"/>
      </w:tabs>
      <w:spacing w:line="280" w:lineRule="atLeast"/>
      <w:ind w:left="720" w:hanging="720"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5963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pPr>
      <w:spacing w:line="240" w:lineRule="atLeast"/>
      <w:ind w:left="720" w:hanging="720"/>
      <w:jc w:val="both"/>
    </w:pPr>
    <w:rPr>
      <w:rFonts w:ascii="CG Times (WN)" w:hAnsi="CG Times (WN)"/>
      <w:sz w:val="24"/>
    </w:rPr>
  </w:style>
  <w:style w:type="paragraph" w:styleId="22">
    <w:name w:val="Body Text Indent 2"/>
    <w:basedOn w:val="a"/>
    <w:pPr>
      <w:ind w:left="360"/>
      <w:jc w:val="both"/>
    </w:pPr>
    <w:rPr>
      <w:rFonts w:ascii="CG Times (WN)" w:hAnsi="CG Times (WN)"/>
      <w:sz w:val="24"/>
      <w:u w:val="single"/>
    </w:rPr>
  </w:style>
  <w:style w:type="paragraph" w:customStyle="1" w:styleId="BodyText1">
    <w:name w:val="Body Text1"/>
    <w:basedOn w:val="a"/>
    <w:pPr>
      <w:spacing w:after="280" w:line="280" w:lineRule="exact"/>
    </w:pPr>
    <w:rPr>
      <w:rFonts w:ascii="New York" w:hAnsi="New York"/>
      <w:sz w:val="18"/>
    </w:rPr>
  </w:style>
  <w:style w:type="paragraph" w:customStyle="1" w:styleId="Subhead">
    <w:name w:val="Subhead"/>
    <w:basedOn w:val="a"/>
    <w:pPr>
      <w:keepNext/>
      <w:tabs>
        <w:tab w:val="left" w:pos="340"/>
      </w:tabs>
      <w:spacing w:line="280" w:lineRule="exact"/>
    </w:pPr>
    <w:rPr>
      <w:rFonts w:ascii="New York" w:hAnsi="New York"/>
      <w:sz w:val="18"/>
    </w:rPr>
  </w:style>
  <w:style w:type="paragraph" w:customStyle="1" w:styleId="Bodyindent">
    <w:name w:val="Body indent"/>
    <w:basedOn w:val="Bodyspace"/>
    <w:pPr>
      <w:tabs>
        <w:tab w:val="left" w:pos="312"/>
        <w:tab w:val="left" w:pos="620"/>
      </w:tabs>
      <w:ind w:left="312" w:hanging="312"/>
    </w:pPr>
  </w:style>
  <w:style w:type="paragraph" w:customStyle="1" w:styleId="Bodyspace">
    <w:name w:val="Body + space"/>
    <w:basedOn w:val="BodyText1"/>
    <w:next w:val="Bodyindent"/>
  </w:style>
  <w:style w:type="paragraph" w:styleId="a3">
    <w:name w:val="header"/>
    <w:basedOn w:val="a"/>
    <w:pPr>
      <w:tabs>
        <w:tab w:val="center" w:pos="4819"/>
        <w:tab w:val="right" w:pos="9071"/>
      </w:tabs>
    </w:pPr>
    <w:rPr>
      <w:rFonts w:ascii="CG Times (E1)" w:hAnsi="CG Times (E1)"/>
      <w:noProof/>
      <w:sz w:val="24"/>
    </w:rPr>
  </w:style>
  <w:style w:type="paragraph" w:styleId="a4">
    <w:name w:val="footer"/>
    <w:basedOn w:val="a"/>
    <w:pPr>
      <w:tabs>
        <w:tab w:val="center" w:pos="4819"/>
        <w:tab w:val="right" w:pos="9071"/>
      </w:tabs>
    </w:pPr>
    <w:rPr>
      <w:rFonts w:ascii="CG Times (E1)" w:hAnsi="CG Times (E1)"/>
      <w:noProof/>
      <w:sz w:val="24"/>
    </w:r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567"/>
      </w:tabs>
      <w:spacing w:line="140" w:lineRule="atLeast"/>
      <w:jc w:val="both"/>
    </w:pPr>
    <w:rPr>
      <w:b/>
    </w:rPr>
  </w:style>
  <w:style w:type="paragraph" w:styleId="a7">
    <w:name w:val="Balloon Text"/>
    <w:basedOn w:val="a"/>
    <w:semiHidden/>
    <w:rsid w:val="001546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9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F4AA7"/>
    <w:rPr>
      <w:color w:val="0000FF"/>
      <w:u w:val="single"/>
    </w:rPr>
  </w:style>
  <w:style w:type="paragraph" w:customStyle="1" w:styleId="CharChar">
    <w:name w:val="Char Char"/>
    <w:basedOn w:val="a"/>
    <w:rsid w:val="000E1A37"/>
    <w:pPr>
      <w:autoSpaceDE w:val="0"/>
      <w:autoSpaceDN w:val="0"/>
      <w:spacing w:after="160" w:line="240" w:lineRule="exact"/>
    </w:pPr>
    <w:rPr>
      <w:rFonts w:ascii="Arial" w:hAnsi="Arial" w:cs="Arial"/>
      <w:b/>
      <w:lang w:val="en-US" w:eastAsia="de-DE"/>
    </w:rPr>
  </w:style>
  <w:style w:type="character" w:styleId="aa">
    <w:name w:val="FollowedHyperlink"/>
    <w:rsid w:val="00D937AD"/>
    <w:rPr>
      <w:color w:val="800080"/>
      <w:u w:val="single"/>
    </w:rPr>
  </w:style>
  <w:style w:type="character" w:styleId="ab">
    <w:name w:val="annotation reference"/>
    <w:uiPriority w:val="99"/>
    <w:semiHidden/>
    <w:rsid w:val="00F01662"/>
    <w:rPr>
      <w:sz w:val="16"/>
      <w:szCs w:val="16"/>
    </w:rPr>
  </w:style>
  <w:style w:type="paragraph" w:styleId="ac">
    <w:name w:val="annotation text"/>
    <w:basedOn w:val="a"/>
    <w:link w:val="ad"/>
    <w:semiHidden/>
    <w:rsid w:val="00F01662"/>
  </w:style>
  <w:style w:type="paragraph" w:customStyle="1" w:styleId="CharChar0">
    <w:name w:val="Char Char"/>
    <w:basedOn w:val="a"/>
    <w:rsid w:val="00356238"/>
    <w:pPr>
      <w:autoSpaceDE w:val="0"/>
      <w:autoSpaceDN w:val="0"/>
      <w:spacing w:after="160" w:line="240" w:lineRule="exact"/>
    </w:pPr>
    <w:rPr>
      <w:rFonts w:ascii="Arial" w:hAnsi="Arial" w:cs="Arial"/>
      <w:b/>
      <w:lang w:val="en-US" w:eastAsia="de-DE"/>
    </w:rPr>
  </w:style>
  <w:style w:type="character" w:customStyle="1" w:styleId="20">
    <w:name w:val="Заголовок 2 Знак"/>
    <w:basedOn w:val="a0"/>
    <w:link w:val="2"/>
    <w:uiPriority w:val="9"/>
    <w:rsid w:val="00596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unhideWhenUsed/>
    <w:rsid w:val="0059635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link w:val="af0"/>
    <w:qFormat/>
    <w:rsid w:val="0059635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CharCharCharCharChar">
    <w:name w:val="Знак Знак Char Char Char Char Знак Знак Знак Char Char Char Char Char Char Знак Знак Char Знак Знак Char Знак Знак Char Знак Знак Char Знак Знак"/>
    <w:basedOn w:val="a"/>
    <w:rsid w:val="00FB19E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a"/>
    <w:rsid w:val="000B2A6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0">
    <w:name w:val="Абзац списку Знак"/>
    <w:link w:val="af"/>
    <w:uiPriority w:val="34"/>
    <w:locked/>
    <w:rsid w:val="00A70274"/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CharCharCharCharChar0">
    <w:name w:val="Знак Знак Char Char Char Char Знак Знак Знак Char Char Char Char Char Char Знак Знак Char Знак Знак Char Знак Знак Char Знак Знак Char Знак Знак"/>
    <w:basedOn w:val="a"/>
    <w:rsid w:val="00A6360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AA3C3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1">
    <w:name w:val="footnote text"/>
    <w:basedOn w:val="a"/>
    <w:link w:val="af2"/>
    <w:uiPriority w:val="99"/>
    <w:unhideWhenUsed/>
    <w:rsid w:val="00AA3C3D"/>
    <w:rPr>
      <w:sz w:val="24"/>
      <w:szCs w:val="24"/>
      <w:lang w:eastAsia="en-US"/>
    </w:rPr>
  </w:style>
  <w:style w:type="character" w:customStyle="1" w:styleId="af2">
    <w:name w:val="Текст виноски Знак"/>
    <w:basedOn w:val="a0"/>
    <w:link w:val="af1"/>
    <w:uiPriority w:val="99"/>
    <w:rsid w:val="00AA3C3D"/>
    <w:rPr>
      <w:sz w:val="24"/>
      <w:szCs w:val="24"/>
      <w:lang w:eastAsia="en-US"/>
    </w:rPr>
  </w:style>
  <w:style w:type="character" w:styleId="af3">
    <w:name w:val="footnote reference"/>
    <w:basedOn w:val="a0"/>
    <w:uiPriority w:val="99"/>
    <w:unhideWhenUsed/>
    <w:rsid w:val="00AA3C3D"/>
    <w:rPr>
      <w:vertAlign w:val="superscript"/>
    </w:rPr>
  </w:style>
  <w:style w:type="paragraph" w:styleId="af4">
    <w:name w:val="annotation subject"/>
    <w:basedOn w:val="ac"/>
    <w:next w:val="ac"/>
    <w:link w:val="af5"/>
    <w:uiPriority w:val="99"/>
    <w:semiHidden/>
    <w:unhideWhenUsed/>
    <w:rsid w:val="00B11ED3"/>
    <w:rPr>
      <w:b/>
      <w:bCs/>
    </w:rPr>
  </w:style>
  <w:style w:type="character" w:customStyle="1" w:styleId="ad">
    <w:name w:val="Текст примітки Знак"/>
    <w:basedOn w:val="a0"/>
    <w:link w:val="ac"/>
    <w:semiHidden/>
    <w:rsid w:val="00B11ED3"/>
  </w:style>
  <w:style w:type="character" w:customStyle="1" w:styleId="af5">
    <w:name w:val="Тема примітки Знак"/>
    <w:basedOn w:val="ad"/>
    <w:link w:val="af4"/>
    <w:uiPriority w:val="99"/>
    <w:semiHidden/>
    <w:rsid w:val="00B11ED3"/>
    <w:rPr>
      <w:b/>
      <w:bCs/>
    </w:rPr>
  </w:style>
  <w:style w:type="paragraph" w:styleId="af6">
    <w:name w:val="Revision"/>
    <w:hidden/>
    <w:uiPriority w:val="99"/>
    <w:semiHidden/>
    <w:rsid w:val="0065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Props1.xml><?xml version="1.0" encoding="utf-8"?>
<ds:datastoreItem xmlns:ds="http://schemas.openxmlformats.org/officeDocument/2006/customXml" ds:itemID="{48FFD3F7-BA5B-4824-A43A-B12F5F119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1D3DF-A2E2-41B6-95DA-722BED7182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10279</Words>
  <Characters>5860</Characters>
  <Application>Microsoft Office Word</Application>
  <DocSecurity>0</DocSecurity>
  <Lines>48</Lines>
  <Paragraphs>32</Paragraphs>
  <ScaleCrop>false</ScaleCrop>
  <HeadingPairs>
    <vt:vector size="8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>[contact_name]</vt:lpstr>
      <vt:lpstr>[contact_name]</vt:lpstr>
      <vt:lpstr>    ЗАГАЛЬНА ІНФОРМАЦІЯ</vt:lpstr>
      <vt:lpstr>    МЕТА</vt:lpstr>
      <vt:lpstr>    ДЕТАЛІ ЗАКУПІВЛІ</vt:lpstr>
      <vt:lpstr>    УМОВИ РОБОТИ</vt:lpstr>
      <vt:lpstr>[contact_name]</vt:lpstr>
    </vt:vector>
  </TitlesOfParts>
  <Company>EBRD</Company>
  <LinksUpToDate>false</LinksUpToDate>
  <CharactersWithSpaces>16107</CharactersWithSpaces>
  <SharedDoc>false</SharedDoc>
  <HLinks>
    <vt:vector size="36" baseType="variant">
      <vt:variant>
        <vt:i4>4325496</vt:i4>
      </vt:variant>
      <vt:variant>
        <vt:i4>27</vt:i4>
      </vt:variant>
      <vt:variant>
        <vt:i4>0</vt:i4>
      </vt:variant>
      <vt:variant>
        <vt:i4>5</vt:i4>
      </vt:variant>
      <vt:variant>
        <vt:lpwstr>mailto:cstripadvisary@ebrd.com</vt:lpwstr>
      </vt:variant>
      <vt:variant>
        <vt:lpwstr/>
      </vt:variant>
      <vt:variant>
        <vt:i4>4325496</vt:i4>
      </vt:variant>
      <vt:variant>
        <vt:i4>24</vt:i4>
      </vt:variant>
      <vt:variant>
        <vt:i4>0</vt:i4>
      </vt:variant>
      <vt:variant>
        <vt:i4>5</vt:i4>
      </vt:variant>
      <vt:variant>
        <vt:lpwstr>mailto:cstripadvisary@ebrd.com</vt:lpwstr>
      </vt:variant>
      <vt:variant>
        <vt:lpwstr/>
      </vt:variant>
      <vt:variant>
        <vt:i4>2555940</vt:i4>
      </vt:variant>
      <vt:variant>
        <vt:i4>21</vt:i4>
      </vt:variant>
      <vt:variant>
        <vt:i4>0</vt:i4>
      </vt:variant>
      <vt:variant>
        <vt:i4>5</vt:i4>
      </vt:variant>
      <vt:variant>
        <vt:lpwstr>http://www.ebrd.com/downloads/forms/untrip-profile-for-consultants.doc</vt:lpwstr>
      </vt:variant>
      <vt:variant>
        <vt:lpwstr/>
      </vt:variant>
      <vt:variant>
        <vt:i4>2097274</vt:i4>
      </vt:variant>
      <vt:variant>
        <vt:i4>18</vt:i4>
      </vt:variant>
      <vt:variant>
        <vt:i4>0</vt:i4>
      </vt:variant>
      <vt:variant>
        <vt:i4>5</vt:i4>
      </vt:variant>
      <vt:variant>
        <vt:lpwstr>http://www.ebrd.com/downloads/about/secpol.pdf</vt:lpwstr>
      </vt:variant>
      <vt:variant>
        <vt:lpwstr/>
      </vt:variant>
      <vt:variant>
        <vt:i4>3145832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http://ec.europa.eu/europeaid/work/procedures/implementation/per_diems/documents/perdiems_201207.pdf</vt:lpwstr>
      </vt:variant>
      <vt:variant>
        <vt:lpwstr/>
      </vt:variant>
      <vt:variant>
        <vt:i4>6160406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http://ec.europa.eu/europeaid/work/visibility/documents/communication_and_visibility_manual_en.pdf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[contact_name]</dc:title>
  <dc:creator>Matushina, Marina</dc:creator>
  <cp:keywords>[EBRD]</cp:keywords>
  <cp:lastModifiedBy>Olha Raku</cp:lastModifiedBy>
  <cp:revision>4</cp:revision>
  <cp:lastPrinted>2013-02-21T10:40:00Z</cp:lastPrinted>
  <dcterms:created xsi:type="dcterms:W3CDTF">2026-04-28T09:58:00Z</dcterms:created>
  <dcterms:modified xsi:type="dcterms:W3CDTF">2026-06-26T08:19:00Z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9c08a519-02b7-40b6-a3fc-d4b3582b4800</vt:lpwstr>
  </property>
  <property fmtid="{D5CDD505-2E9C-101B-9397-08002B2CF9AE}" pid="3" name="bjSaver">
    <vt:lpwstr>1nSL+WzZKvkRvwO90B+0gLIrS7YCJt0u</vt:lpwstr>
  </property>
  <property fmtid="{D5CDD505-2E9C-101B-9397-08002B2CF9AE}" pid="4" name="bjDocumentSecurityLabel">
    <vt:lpwstr>This item has no classification</vt:lpwstr>
  </property>
  <property fmtid="{D5CDD505-2E9C-101B-9397-08002B2CF9AE}" pid="5" name="bjDocumentLabelFieldCode">
    <vt:lpwstr>This item has no classification</vt:lpwstr>
  </property>
</Properties>
</file>