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E7F5" w14:textId="77777777" w:rsidR="007C1155" w:rsidRPr="00F9743E" w:rsidRDefault="007C1155" w:rsidP="007C1155">
      <w:pPr>
        <w:spacing w:before="120" w:after="120"/>
        <w:jc w:val="center"/>
        <w:rPr>
          <w:rFonts w:asciiTheme="majorBidi" w:hAnsiTheme="majorBidi" w:cstheme="majorBidi"/>
          <w:b/>
          <w:bCs/>
          <w:smallCaps/>
          <w:sz w:val="24"/>
          <w:szCs w:val="24"/>
          <w:lang w:val="uk-UA"/>
        </w:rPr>
      </w:pPr>
      <w:r w:rsidRPr="00F9743E">
        <w:rPr>
          <w:rFonts w:asciiTheme="majorBidi" w:hAnsiTheme="majorBidi" w:cstheme="majorBidi"/>
          <w:b/>
          <w:bCs/>
          <w:smallCaps/>
          <w:sz w:val="24"/>
          <w:szCs w:val="24"/>
          <w:lang w:val="uk-UA"/>
        </w:rPr>
        <w:t>ТЕХНІЧНЕ ЗАВДАННЯ</w:t>
      </w:r>
    </w:p>
    <w:p w14:paraId="741E66EF" w14:textId="77777777" w:rsidR="007C1155" w:rsidRPr="00F9743E" w:rsidRDefault="007C1155" w:rsidP="007C1155">
      <w:pPr>
        <w:spacing w:before="120" w:after="120"/>
        <w:jc w:val="center"/>
        <w:rPr>
          <w:rFonts w:asciiTheme="majorBidi" w:hAnsiTheme="majorBidi" w:cstheme="majorBidi"/>
          <w:b/>
          <w:bCs/>
          <w:smallCaps/>
          <w:sz w:val="4"/>
          <w:szCs w:val="4"/>
          <w:lang w:val="uk-UA"/>
        </w:rPr>
      </w:pPr>
    </w:p>
    <w:p w14:paraId="4D5FE339" w14:textId="77777777" w:rsidR="007C1155" w:rsidRPr="00505196" w:rsidRDefault="007C1155" w:rsidP="007C1155">
      <w:pPr>
        <w:tabs>
          <w:tab w:val="left" w:pos="567"/>
        </w:tabs>
        <w:spacing w:before="120" w:after="120"/>
        <w:ind w:left="620" w:right="397"/>
        <w:jc w:val="center"/>
        <w:rPr>
          <w:b/>
          <w:sz w:val="24"/>
          <w:lang w:val="uk-UA"/>
        </w:rPr>
      </w:pPr>
      <w:r w:rsidRPr="00505196">
        <w:rPr>
          <w:b/>
          <w:sz w:val="24"/>
          <w:lang w:val="uk-UA"/>
        </w:rPr>
        <w:t>«e-AQUAF: Smart Aqua Farming</w:t>
      </w:r>
      <w:r>
        <w:rPr>
          <w:b/>
          <w:sz w:val="24"/>
          <w:lang w:val="uk-UA"/>
        </w:rPr>
        <w:t xml:space="preserve"> / </w:t>
      </w:r>
      <w:r w:rsidRPr="00813B48">
        <w:rPr>
          <w:b/>
          <w:sz w:val="24"/>
          <w:lang w:val="uk-UA"/>
        </w:rPr>
        <w:t>e-AQUAF: Розумне</w:t>
      </w:r>
      <w:r>
        <w:rPr>
          <w:b/>
          <w:sz w:val="24"/>
          <w:lang w:val="uk-UA"/>
        </w:rPr>
        <w:t xml:space="preserve"> аквафермерство</w:t>
      </w:r>
      <w:r w:rsidRPr="00505196">
        <w:rPr>
          <w:b/>
          <w:sz w:val="24"/>
          <w:lang w:val="uk-UA"/>
        </w:rPr>
        <w:t>»</w:t>
      </w:r>
    </w:p>
    <w:p w14:paraId="729CDA0B" w14:textId="77777777" w:rsidR="007C1155" w:rsidRPr="00505196" w:rsidRDefault="007C1155" w:rsidP="007C1155">
      <w:pPr>
        <w:tabs>
          <w:tab w:val="left" w:pos="567"/>
        </w:tabs>
        <w:spacing w:before="120" w:after="120"/>
        <w:ind w:left="620" w:right="397"/>
        <w:jc w:val="center"/>
        <w:rPr>
          <w:b/>
          <w:sz w:val="24"/>
          <w:lang w:val="uk-UA"/>
        </w:rPr>
      </w:pPr>
    </w:p>
    <w:p w14:paraId="75345682" w14:textId="6D46B509" w:rsidR="00E90392" w:rsidRPr="00A1665E" w:rsidRDefault="00323F0E" w:rsidP="00323F0E">
      <w:pPr>
        <w:tabs>
          <w:tab w:val="left" w:pos="567"/>
        </w:tabs>
        <w:spacing w:before="120" w:after="120"/>
        <w:ind w:right="397"/>
        <w:jc w:val="center"/>
        <w:rPr>
          <w:b/>
          <w:sz w:val="24"/>
          <w:lang w:val="uk-UA"/>
        </w:rPr>
      </w:pPr>
      <w:r w:rsidRPr="00323F0E">
        <w:rPr>
          <w:b/>
          <w:sz w:val="24"/>
          <w:lang w:val="uk-UA"/>
        </w:rPr>
        <w:t xml:space="preserve">Послуги з проведення маркетингового дослідження сектору </w:t>
      </w:r>
      <w:r>
        <w:rPr>
          <w:b/>
          <w:sz w:val="24"/>
          <w:lang w:val="uk-UA"/>
        </w:rPr>
        <w:t xml:space="preserve">аквакультури </w:t>
      </w:r>
      <w:r w:rsidRPr="00323F0E">
        <w:rPr>
          <w:b/>
          <w:sz w:val="24"/>
          <w:lang w:val="uk-UA"/>
        </w:rPr>
        <w:t>в країнах Чорноморського басейну в межах проєкту e-AQUAF</w:t>
      </w:r>
    </w:p>
    <w:p w14:paraId="6D789267" w14:textId="71116876" w:rsidR="00596352" w:rsidRPr="00F9743E" w:rsidRDefault="00E47D21" w:rsidP="00C26F53">
      <w:pPr>
        <w:pStyle w:val="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sidRPr="00F9743E">
        <w:rPr>
          <w:rFonts w:ascii="Times New Roman" w:hAnsi="Times New Roman" w:cs="Times New Roman"/>
          <w:smallCaps/>
          <w:color w:val="auto"/>
          <w:sz w:val="24"/>
          <w:szCs w:val="24"/>
          <w:lang w:val="uk-UA"/>
        </w:rPr>
        <w:t>ЗАГАЛЬНА ІНФОРМАЦІЯ</w:t>
      </w:r>
    </w:p>
    <w:p w14:paraId="128F456A" w14:textId="05DCE789" w:rsidR="007C1155" w:rsidRPr="007C1155" w:rsidRDefault="007C1155" w:rsidP="007C1155">
      <w:pPr>
        <w:pStyle w:val="ae"/>
        <w:spacing w:before="120" w:beforeAutospacing="0" w:after="0" w:afterAutospacing="0"/>
        <w:jc w:val="both"/>
        <w:rPr>
          <w:rFonts w:eastAsia="MS Mincho"/>
          <w:lang w:val="uk-UA" w:eastAsia="ja-JP"/>
        </w:rPr>
      </w:pPr>
      <w:r w:rsidRPr="007C1155">
        <w:rPr>
          <w:rFonts w:eastAsia="MS Mincho"/>
          <w:lang w:val="uk-UA" w:eastAsia="ja-JP"/>
        </w:rPr>
        <w:t>Проєкт e-AQUAF – Smart Aqua Farming (Розумне аквакультурне виробництво) є транскордонною ініціативою, спрямованою на розвиток інноваційного, сталого та технологічно орієнтованого аквакультурного сектору в країнах Чорноморського регіону. Проєкт реалізується консорціумом партнерів із Румунії, Вірменії, Болгарії, Греції, Грузії та України, які об</w:t>
      </w:r>
      <w:r w:rsidR="00655A98">
        <w:rPr>
          <w:rFonts w:eastAsia="MS Mincho"/>
          <w:lang w:val="uk-UA" w:eastAsia="ja-JP"/>
        </w:rPr>
        <w:t>’</w:t>
      </w:r>
      <w:r w:rsidRPr="007C1155">
        <w:rPr>
          <w:rFonts w:eastAsia="MS Mincho"/>
          <w:lang w:val="uk-UA" w:eastAsia="ja-JP"/>
        </w:rPr>
        <w:t>єднали наукову, освітню, аналітичну та практичну експертизу з метою впровадження сучасних підходів до розвитку аквакультури, підвищення конкурентоспроможності сектору та посилення транскордонної співпраці.</w:t>
      </w:r>
    </w:p>
    <w:p w14:paraId="0970DD12" w14:textId="77777777" w:rsidR="007C1155" w:rsidRPr="007C1155" w:rsidRDefault="007C1155" w:rsidP="007C1155">
      <w:pPr>
        <w:pStyle w:val="ae"/>
        <w:spacing w:before="120" w:beforeAutospacing="0" w:after="0" w:afterAutospacing="0"/>
        <w:jc w:val="both"/>
        <w:rPr>
          <w:rFonts w:eastAsia="MS Mincho"/>
          <w:lang w:val="uk-UA" w:eastAsia="ja-JP"/>
        </w:rPr>
      </w:pPr>
      <w:r w:rsidRPr="007C1155">
        <w:rPr>
          <w:rFonts w:eastAsia="MS Mincho"/>
          <w:lang w:val="uk-UA" w:eastAsia="ja-JP"/>
        </w:rPr>
        <w:t>Головною метою проєкту є підвищення ефективності, сталості та інноваційного потенціалу аквакультурного сектору шляхом впровадження сучасних технологій, інструментів цифрового аналізу, систем моніторингу, а також розвитку підприємницьких і професійних компетенцій у галузі аквакультури.</w:t>
      </w:r>
    </w:p>
    <w:p w14:paraId="5A47CA56" w14:textId="70821E10" w:rsidR="007C1155" w:rsidRPr="007C1155" w:rsidRDefault="007C1155" w:rsidP="007C1155">
      <w:pPr>
        <w:pStyle w:val="ae"/>
        <w:spacing w:before="120" w:beforeAutospacing="0" w:after="0" w:afterAutospacing="0"/>
        <w:jc w:val="both"/>
        <w:rPr>
          <w:rFonts w:eastAsia="MS Mincho"/>
          <w:lang w:val="uk-UA" w:eastAsia="ja-JP"/>
        </w:rPr>
      </w:pPr>
      <w:r w:rsidRPr="007C1155">
        <w:rPr>
          <w:rFonts w:eastAsia="MS Mincho"/>
          <w:lang w:val="uk-UA" w:eastAsia="ja-JP"/>
        </w:rPr>
        <w:t>У межах проєкту передбачається реалізація комплексу взаємопов</w:t>
      </w:r>
      <w:r w:rsidR="00655A98">
        <w:rPr>
          <w:rFonts w:eastAsia="MS Mincho"/>
          <w:lang w:val="uk-UA" w:eastAsia="ja-JP"/>
        </w:rPr>
        <w:t>’</w:t>
      </w:r>
      <w:r w:rsidRPr="007C1155">
        <w:rPr>
          <w:rFonts w:eastAsia="MS Mincho"/>
          <w:lang w:val="uk-UA" w:eastAsia="ja-JP"/>
        </w:rPr>
        <w:t>язаних заходів, зокрема проведення досліджень, мапування стейкхолдерів, розробка інноваційної цифрової платформи, впровадження систем моніторингу, організація навчальних програм, тренінгів, міжнародних заходів та забезпечення сталого обміну знаннями між країнами-партнерами.</w:t>
      </w:r>
    </w:p>
    <w:p w14:paraId="6CACC6B5" w14:textId="77777777" w:rsidR="00323F0E" w:rsidRPr="00323F0E" w:rsidRDefault="00323F0E" w:rsidP="00B01A18">
      <w:pPr>
        <w:pStyle w:val="ae"/>
        <w:spacing w:before="120" w:beforeAutospacing="0" w:after="0" w:afterAutospacing="0"/>
        <w:jc w:val="both"/>
        <w:rPr>
          <w:rFonts w:eastAsia="MS Mincho"/>
          <w:lang w:val="uk-UA" w:eastAsia="ja-JP"/>
        </w:rPr>
      </w:pPr>
      <w:r w:rsidRPr="00323F0E">
        <w:rPr>
          <w:rFonts w:eastAsia="MS Mincho"/>
          <w:lang w:val="uk-UA" w:eastAsia="ja-JP"/>
        </w:rPr>
        <w:t>Однією з ключових складових проєкту є отримання актуальної аналітичної бази щодо стану, тенденцій, можливостей і ризиків аквакультурного сектору в країнах Чорноморського басейну. Для цього в межах проєкту передбачено проведення комплексного маркетингового дослідження, яке охопить усі країни-партнери та забезпечить проєктну команду необхідними даними для прийняття обґрунтованих рішень, розробки рекомендацій та формування ефективних стратегій розвитку галузі.</w:t>
      </w:r>
    </w:p>
    <w:p w14:paraId="3B501141" w14:textId="28D6011A" w:rsidR="00323F0E" w:rsidRPr="00323F0E" w:rsidRDefault="00323F0E" w:rsidP="00B01A18">
      <w:pPr>
        <w:pStyle w:val="ae"/>
        <w:spacing w:before="120" w:beforeAutospacing="0" w:after="0" w:afterAutospacing="0"/>
        <w:jc w:val="both"/>
        <w:rPr>
          <w:rFonts w:eastAsia="MS Mincho"/>
          <w:lang w:val="uk-UA" w:eastAsia="ja-JP"/>
        </w:rPr>
      </w:pPr>
      <w:r w:rsidRPr="00323F0E">
        <w:rPr>
          <w:rFonts w:eastAsia="MS Mincho"/>
          <w:lang w:val="uk-UA" w:eastAsia="ja-JP"/>
        </w:rPr>
        <w:t>Дослідження спрямоване на з</w:t>
      </w:r>
      <w:r w:rsidR="00655A98">
        <w:rPr>
          <w:rFonts w:eastAsia="MS Mincho"/>
          <w:lang w:val="uk-UA" w:eastAsia="ja-JP"/>
        </w:rPr>
        <w:t>’</w:t>
      </w:r>
      <w:r w:rsidRPr="00323F0E">
        <w:rPr>
          <w:rFonts w:eastAsia="MS Mincho"/>
          <w:lang w:val="uk-UA" w:eastAsia="ja-JP"/>
        </w:rPr>
        <w:t>ясування актуального стану ринку</w:t>
      </w:r>
      <w:r>
        <w:rPr>
          <w:rFonts w:eastAsia="MS Mincho"/>
          <w:lang w:val="uk-UA" w:eastAsia="ja-JP"/>
        </w:rPr>
        <w:t xml:space="preserve"> аквакультури</w:t>
      </w:r>
      <w:r w:rsidRPr="00323F0E">
        <w:rPr>
          <w:rFonts w:eastAsia="MS Mincho"/>
          <w:lang w:val="uk-UA" w:eastAsia="ja-JP"/>
        </w:rPr>
        <w:t>, виявлення технологічних трендів, оцінку потреб та ризиків, пов</w:t>
      </w:r>
      <w:r w:rsidR="00655A98">
        <w:rPr>
          <w:rFonts w:eastAsia="MS Mincho"/>
          <w:lang w:val="uk-UA" w:eastAsia="ja-JP"/>
        </w:rPr>
        <w:t>’</w:t>
      </w:r>
      <w:r w:rsidRPr="00323F0E">
        <w:rPr>
          <w:rFonts w:eastAsia="MS Mincho"/>
          <w:lang w:val="uk-UA" w:eastAsia="ja-JP"/>
        </w:rPr>
        <w:t>язаних із впровадженням інноваційних рішень, зокрема штучного інтелекту та машинного навчання. Результати дослідження стануть основою для розробки практичних рекомендацій для стейкхолдерів галузі, підготовки наукових публікацій та формування змісту навчальних програм і цифрових інструментів проєкту.</w:t>
      </w:r>
    </w:p>
    <w:p w14:paraId="52DE3C9F" w14:textId="583150B3" w:rsidR="007C1155" w:rsidRDefault="00323F0E" w:rsidP="00323F0E">
      <w:pPr>
        <w:pStyle w:val="ae"/>
        <w:spacing w:before="120" w:beforeAutospacing="0" w:after="0" w:afterAutospacing="0"/>
        <w:jc w:val="both"/>
        <w:rPr>
          <w:rFonts w:eastAsia="MS Mincho"/>
          <w:lang w:val="uk-UA" w:eastAsia="ja-JP"/>
        </w:rPr>
      </w:pPr>
      <w:r w:rsidRPr="00323F0E">
        <w:rPr>
          <w:rFonts w:eastAsia="MS Mincho"/>
          <w:lang w:val="uk-UA" w:eastAsia="ja-JP"/>
        </w:rPr>
        <w:t>У цьому контексті виникає необхідність у залученні кваліфікован</w:t>
      </w:r>
      <w:r>
        <w:rPr>
          <w:rFonts w:eastAsia="MS Mincho"/>
          <w:lang w:val="uk-UA" w:eastAsia="ja-JP"/>
        </w:rPr>
        <w:t>ого</w:t>
      </w:r>
      <w:r w:rsidRPr="00323F0E">
        <w:rPr>
          <w:rFonts w:eastAsia="MS Mincho"/>
          <w:lang w:val="uk-UA" w:eastAsia="ja-JP"/>
        </w:rPr>
        <w:t xml:space="preserve"> фахівц</w:t>
      </w:r>
      <w:r>
        <w:rPr>
          <w:rFonts w:eastAsia="MS Mincho"/>
          <w:lang w:val="uk-UA" w:eastAsia="ja-JP"/>
        </w:rPr>
        <w:t>я</w:t>
      </w:r>
      <w:r w:rsidRPr="00323F0E">
        <w:rPr>
          <w:rFonts w:eastAsia="MS Mincho"/>
          <w:lang w:val="uk-UA" w:eastAsia="ja-JP"/>
        </w:rPr>
        <w:t xml:space="preserve"> для надання послуг з проведення маркетингового дослідження відповідно до методологічних вимог проєкту, стандартів програми Interreg та академічних норм наукового аналізу.</w:t>
      </w:r>
    </w:p>
    <w:p w14:paraId="170216BA" w14:textId="3803CC7A" w:rsidR="000C2A0F" w:rsidRPr="000C2A0F" w:rsidRDefault="00E22DFB" w:rsidP="000C2A0F">
      <w:pPr>
        <w:pStyle w:val="2"/>
        <w:keepNext w:val="0"/>
        <w:keepLines w:val="0"/>
        <w:numPr>
          <w:ilvl w:val="0"/>
          <w:numId w:val="1"/>
        </w:numPr>
        <w:tabs>
          <w:tab w:val="left" w:pos="0"/>
        </w:tabs>
        <w:spacing w:before="120" w:after="120"/>
        <w:rPr>
          <w:rFonts w:ascii="Times New Roman" w:eastAsia="Times New Roman" w:hAnsi="Times New Roman" w:cs="Times New Roman"/>
          <w:smallCaps/>
          <w:color w:val="auto"/>
          <w:sz w:val="24"/>
          <w:szCs w:val="24"/>
          <w:lang w:val="uk-UA"/>
        </w:rPr>
      </w:pPr>
      <w:r>
        <w:rPr>
          <w:rFonts w:ascii="Times New Roman" w:hAnsi="Times New Roman" w:cs="Times New Roman"/>
          <w:smallCaps/>
          <w:color w:val="auto"/>
          <w:sz w:val="24"/>
          <w:szCs w:val="24"/>
          <w:lang w:val="uk-UA"/>
        </w:rPr>
        <w:t>МЕТА</w:t>
      </w:r>
    </w:p>
    <w:p w14:paraId="57D7F8CB" w14:textId="27560C03" w:rsidR="00B01A18" w:rsidRPr="00B01A18" w:rsidRDefault="00B01A18" w:rsidP="00B01A18">
      <w:pPr>
        <w:pStyle w:val="ae"/>
        <w:spacing w:before="120" w:beforeAutospacing="0" w:after="0" w:afterAutospacing="0"/>
        <w:jc w:val="both"/>
        <w:rPr>
          <w:rFonts w:eastAsia="MS Mincho"/>
          <w:lang w:val="uk-UA" w:eastAsia="ja-JP"/>
        </w:rPr>
      </w:pPr>
      <w:r w:rsidRPr="00B01A18">
        <w:rPr>
          <w:rFonts w:eastAsia="MS Mincho"/>
          <w:lang w:val="uk-UA" w:eastAsia="ja-JP"/>
        </w:rPr>
        <w:t xml:space="preserve">Основною метою цієї закупівлі є залучення кваліфікованого дослідника для проведення комплексного маркетингового дослідження аквакультурного сектору в межах реалізації </w:t>
      </w:r>
      <w:r>
        <w:rPr>
          <w:rFonts w:eastAsia="MS Mincho"/>
          <w:lang w:val="uk-UA" w:eastAsia="ja-JP"/>
        </w:rPr>
        <w:t>активностей</w:t>
      </w:r>
      <w:r w:rsidRPr="00B01A18">
        <w:rPr>
          <w:rFonts w:eastAsia="MS Mincho"/>
          <w:lang w:val="uk-UA" w:eastAsia="ja-JP"/>
        </w:rPr>
        <w:t xml:space="preserve"> проєкту e-AQUAF – Smart Aqua Farming.</w:t>
      </w:r>
    </w:p>
    <w:p w14:paraId="137063BB" w14:textId="211C5A39" w:rsidR="00B01A18" w:rsidRPr="00B01A18" w:rsidRDefault="00B01A18" w:rsidP="00B01A18">
      <w:pPr>
        <w:pStyle w:val="ae"/>
        <w:spacing w:before="120" w:beforeAutospacing="0" w:after="0" w:afterAutospacing="0"/>
        <w:jc w:val="both"/>
        <w:rPr>
          <w:rFonts w:eastAsia="MS Mincho"/>
          <w:lang w:val="uk-UA" w:eastAsia="ja-JP"/>
        </w:rPr>
      </w:pPr>
      <w:r w:rsidRPr="00B01A18">
        <w:rPr>
          <w:rFonts w:eastAsia="MS Mincho"/>
          <w:lang w:val="uk-UA" w:eastAsia="ja-JP"/>
        </w:rPr>
        <w:t xml:space="preserve">Дослідження спрямоване на формування актуальної, структурованої та аналітично обґрунтованої інформаційної бази щодо стану, динаміки, технологічних тенденцій, ринкових можливостей і ризиків у сфері аквакультури </w:t>
      </w:r>
      <w:r>
        <w:rPr>
          <w:rFonts w:eastAsia="MS Mincho"/>
          <w:lang w:val="uk-UA" w:eastAsia="ja-JP"/>
        </w:rPr>
        <w:t>з</w:t>
      </w:r>
      <w:r w:rsidRPr="00B01A18">
        <w:rPr>
          <w:rFonts w:eastAsia="MS Mincho"/>
          <w:lang w:val="uk-UA" w:eastAsia="ja-JP"/>
        </w:rPr>
        <w:t xml:space="preserve"> основним фокусом на Україні та, за необхідності, з охопленням країн-партнерів проєкту й ширшого Чорноморського басейну.</w:t>
      </w:r>
    </w:p>
    <w:p w14:paraId="20416023" w14:textId="59AECA8F" w:rsidR="003E73DF" w:rsidRDefault="00B01A18" w:rsidP="00B01A18">
      <w:pPr>
        <w:pStyle w:val="ae"/>
        <w:spacing w:before="120" w:beforeAutospacing="0" w:after="0" w:afterAutospacing="0"/>
        <w:jc w:val="both"/>
        <w:rPr>
          <w:rFonts w:eastAsia="MS Mincho"/>
          <w:lang w:val="uk-UA" w:eastAsia="ja-JP"/>
        </w:rPr>
      </w:pPr>
      <w:r w:rsidRPr="00B01A18">
        <w:rPr>
          <w:rFonts w:eastAsia="MS Mincho"/>
          <w:lang w:val="uk-UA" w:eastAsia="ja-JP"/>
        </w:rPr>
        <w:t xml:space="preserve">Результати дослідження забезпечать проєктну команду доказовою аналітичною основою для розробки рекомендацій щодо технологічної модернізації галузі, підготовки змісту навчальних </w:t>
      </w:r>
      <w:r w:rsidRPr="00B01A18">
        <w:rPr>
          <w:rFonts w:eastAsia="MS Mincho"/>
          <w:lang w:val="uk-UA" w:eastAsia="ja-JP"/>
        </w:rPr>
        <w:lastRenderedPageBreak/>
        <w:t>програм, наповнення цифрової платформи AQUA-SMART, підготовки наукових публікацій, а також обґрунтування пропозицій для органів державної влади та галузевих стейкхолдерів.</w:t>
      </w:r>
    </w:p>
    <w:p w14:paraId="2F68CD94" w14:textId="77777777" w:rsidR="00B01A18" w:rsidRPr="00A60B20" w:rsidRDefault="00B01A18" w:rsidP="00B01A18">
      <w:pPr>
        <w:pStyle w:val="ae"/>
        <w:spacing w:before="0" w:beforeAutospacing="0" w:after="0" w:afterAutospacing="0"/>
        <w:jc w:val="both"/>
        <w:rPr>
          <w:rFonts w:eastAsia="MS Mincho"/>
          <w:lang w:val="uk-UA" w:eastAsia="ja-JP"/>
        </w:rPr>
      </w:pPr>
    </w:p>
    <w:p w14:paraId="1783F122" w14:textId="1CAABFC7" w:rsidR="00596352" w:rsidRPr="00F9743E" w:rsidRDefault="00045C8C" w:rsidP="00C26F53">
      <w:pPr>
        <w:pStyle w:val="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Pr>
          <w:rFonts w:ascii="Times New Roman" w:hAnsi="Times New Roman" w:cs="Times New Roman"/>
          <w:smallCaps/>
          <w:color w:val="auto"/>
          <w:sz w:val="24"/>
          <w:szCs w:val="24"/>
          <w:lang w:val="uk-UA"/>
        </w:rPr>
        <w:t>ДЕТАЛІ ЗАКУПІВЛІ</w:t>
      </w:r>
    </w:p>
    <w:p w14:paraId="40F477EA" w14:textId="4982F973" w:rsidR="001563E0" w:rsidRDefault="001563E0" w:rsidP="001563E0">
      <w:pPr>
        <w:pStyle w:val="ae"/>
        <w:jc w:val="both"/>
        <w:rPr>
          <w:lang w:val="uk-UA"/>
        </w:rPr>
      </w:pPr>
      <w:r w:rsidRPr="001563E0">
        <w:rPr>
          <w:lang w:val="uk-UA"/>
        </w:rPr>
        <w:t xml:space="preserve">До предмета закупівлі входить надання послуг </w:t>
      </w:r>
      <w:r>
        <w:rPr>
          <w:lang w:val="uk-UA"/>
        </w:rPr>
        <w:t>дослідника</w:t>
      </w:r>
      <w:r w:rsidRPr="001563E0">
        <w:rPr>
          <w:lang w:val="uk-UA"/>
        </w:rPr>
        <w:t xml:space="preserve"> з проведення маркетингового дослідження аквакультурного сектору в рамках реалізації проєкту e-AQUAF протягом 1</w:t>
      </w:r>
      <w:r>
        <w:rPr>
          <w:lang w:val="uk-UA"/>
        </w:rPr>
        <w:t>-</w:t>
      </w:r>
      <w:r w:rsidR="00F5602A">
        <w:rPr>
          <w:lang w:val="uk-UA"/>
        </w:rPr>
        <w:t>7</w:t>
      </w:r>
      <w:r w:rsidRPr="001563E0">
        <w:rPr>
          <w:lang w:val="uk-UA"/>
        </w:rPr>
        <w:t xml:space="preserve"> звітних періодів проєкту (орієнтовно 2</w:t>
      </w:r>
      <w:r w:rsidR="00F5602A">
        <w:rPr>
          <w:lang w:val="uk-UA"/>
        </w:rPr>
        <w:t>8</w:t>
      </w:r>
      <w:r w:rsidRPr="001563E0">
        <w:rPr>
          <w:lang w:val="uk-UA"/>
        </w:rPr>
        <w:t xml:space="preserve"> місяці</w:t>
      </w:r>
      <w:r w:rsidR="00F5602A">
        <w:rPr>
          <w:lang w:val="uk-UA"/>
        </w:rPr>
        <w:t>в</w:t>
      </w:r>
      <w:r w:rsidRPr="001563E0">
        <w:rPr>
          <w:lang w:val="uk-UA"/>
        </w:rPr>
        <w:t>).</w:t>
      </w:r>
      <w:r>
        <w:rPr>
          <w:lang w:val="uk-UA"/>
        </w:rPr>
        <w:t xml:space="preserve"> </w:t>
      </w:r>
    </w:p>
    <w:p w14:paraId="4E09D94D" w14:textId="280C23FB" w:rsidR="001563E0" w:rsidRPr="001563E0" w:rsidRDefault="001563E0" w:rsidP="001563E0">
      <w:pPr>
        <w:pStyle w:val="ae"/>
        <w:jc w:val="both"/>
        <w:rPr>
          <w:lang w:val="uk-UA"/>
        </w:rPr>
      </w:pPr>
      <w:r w:rsidRPr="001563E0">
        <w:rPr>
          <w:lang w:val="uk-UA"/>
        </w:rPr>
        <w:t xml:space="preserve">Загальний обсяг послуг становить </w:t>
      </w:r>
      <w:r>
        <w:rPr>
          <w:lang w:val="uk-UA"/>
        </w:rPr>
        <w:t xml:space="preserve">орієнтовно </w:t>
      </w:r>
      <w:r w:rsidR="005F1A4F">
        <w:rPr>
          <w:b/>
          <w:bCs/>
          <w:lang w:val="uk-UA"/>
        </w:rPr>
        <w:t>840</w:t>
      </w:r>
      <w:r w:rsidRPr="001563E0">
        <w:rPr>
          <w:b/>
          <w:bCs/>
          <w:lang w:val="uk-UA"/>
        </w:rPr>
        <w:t xml:space="preserve"> годин</w:t>
      </w:r>
      <w:r w:rsidRPr="001563E0">
        <w:rPr>
          <w:lang w:val="uk-UA"/>
        </w:rPr>
        <w:t xml:space="preserve">, розподілених рівномірно між </w:t>
      </w:r>
      <w:r w:rsidR="005F1A4F">
        <w:rPr>
          <w:lang w:val="uk-UA"/>
        </w:rPr>
        <w:t>семи</w:t>
      </w:r>
      <w:r w:rsidRPr="001563E0">
        <w:rPr>
          <w:lang w:val="uk-UA"/>
        </w:rPr>
        <w:t xml:space="preserve"> звітними періодами проєкту (</w:t>
      </w:r>
      <w:r>
        <w:rPr>
          <w:lang w:val="uk-UA"/>
        </w:rPr>
        <w:t xml:space="preserve">орієнтовно </w:t>
      </w:r>
      <w:r w:rsidRPr="001563E0">
        <w:rPr>
          <w:lang w:val="uk-UA"/>
        </w:rPr>
        <w:t xml:space="preserve">по 120 годин на </w:t>
      </w:r>
      <w:r>
        <w:rPr>
          <w:lang w:val="uk-UA"/>
        </w:rPr>
        <w:t>кожен період проєкту - 4 місяці</w:t>
      </w:r>
      <w:r w:rsidRPr="001563E0">
        <w:rPr>
          <w:lang w:val="uk-UA"/>
        </w:rPr>
        <w:t>).</w:t>
      </w:r>
    </w:p>
    <w:p w14:paraId="03095C7B" w14:textId="01AFA05E" w:rsidR="001563E0" w:rsidRPr="001563E0" w:rsidRDefault="001563E0" w:rsidP="001563E0">
      <w:pPr>
        <w:pStyle w:val="ae"/>
        <w:jc w:val="both"/>
        <w:rPr>
          <w:lang w:val="uk-UA"/>
        </w:rPr>
      </w:pPr>
      <w:r w:rsidRPr="001563E0">
        <w:rPr>
          <w:lang w:val="uk-UA"/>
        </w:rPr>
        <w:t>Послуги охоплюють повний цикл проведення маркетингового дослідження, що включає такі взаємопов</w:t>
      </w:r>
      <w:r w:rsidR="00655A98">
        <w:rPr>
          <w:lang w:val="uk-UA"/>
        </w:rPr>
        <w:t>’</w:t>
      </w:r>
      <w:r w:rsidRPr="001563E0">
        <w:rPr>
          <w:lang w:val="uk-UA"/>
        </w:rPr>
        <w:t>язані складові:</w:t>
      </w:r>
    </w:p>
    <w:p w14:paraId="192D8E76" w14:textId="77777777" w:rsidR="001563E0" w:rsidRPr="001563E0" w:rsidRDefault="001563E0" w:rsidP="001563E0">
      <w:pPr>
        <w:pStyle w:val="ae"/>
        <w:jc w:val="both"/>
        <w:rPr>
          <w:lang w:val="uk-UA"/>
        </w:rPr>
      </w:pPr>
      <w:r w:rsidRPr="001563E0">
        <w:rPr>
          <w:b/>
          <w:bCs/>
          <w:lang w:val="uk-UA"/>
        </w:rPr>
        <w:t>1. Кабінетне дослідження (Desk Research)</w:t>
      </w:r>
    </w:p>
    <w:p w14:paraId="03BF0C0E" w14:textId="2E9E79F7" w:rsidR="001563E0" w:rsidRPr="001563E0" w:rsidRDefault="001563E0">
      <w:pPr>
        <w:pStyle w:val="ae"/>
        <w:numPr>
          <w:ilvl w:val="0"/>
          <w:numId w:val="3"/>
        </w:numPr>
        <w:jc w:val="both"/>
        <w:rPr>
          <w:lang w:val="uk-UA"/>
        </w:rPr>
      </w:pPr>
      <w:r w:rsidRPr="001563E0">
        <w:rPr>
          <w:lang w:val="uk-UA"/>
        </w:rPr>
        <w:t xml:space="preserve">систематичний збір та критичний аналіз наукової літератури, галузевих звітів, статистичних даних і регуляторних документів, що стосуються сектору </w:t>
      </w:r>
      <w:r>
        <w:rPr>
          <w:lang w:val="uk-UA"/>
        </w:rPr>
        <w:t xml:space="preserve">аквакультури </w:t>
      </w:r>
      <w:r w:rsidRPr="001563E0">
        <w:rPr>
          <w:lang w:val="uk-UA"/>
        </w:rPr>
        <w:t xml:space="preserve">України та </w:t>
      </w:r>
      <w:r>
        <w:rPr>
          <w:lang w:val="uk-UA"/>
        </w:rPr>
        <w:t>регіону Чорного моря</w:t>
      </w:r>
      <w:r w:rsidRPr="001563E0">
        <w:rPr>
          <w:lang w:val="uk-UA"/>
        </w:rPr>
        <w:t>;</w:t>
      </w:r>
    </w:p>
    <w:p w14:paraId="533E2EA1" w14:textId="77777777" w:rsidR="001563E0" w:rsidRPr="001563E0" w:rsidRDefault="001563E0">
      <w:pPr>
        <w:pStyle w:val="ae"/>
        <w:numPr>
          <w:ilvl w:val="0"/>
          <w:numId w:val="3"/>
        </w:numPr>
        <w:jc w:val="both"/>
        <w:rPr>
          <w:lang w:val="uk-UA"/>
        </w:rPr>
      </w:pPr>
      <w:r w:rsidRPr="001563E0">
        <w:rPr>
          <w:lang w:val="uk-UA"/>
        </w:rPr>
        <w:t>аналіз даних державних статистичних служб (Держстат України, Eurostat, FAO, GFCM та інших релевантних джерел);</w:t>
      </w:r>
    </w:p>
    <w:p w14:paraId="138FC383" w14:textId="77777777" w:rsidR="001563E0" w:rsidRPr="001563E0" w:rsidRDefault="001563E0">
      <w:pPr>
        <w:pStyle w:val="ae"/>
        <w:numPr>
          <w:ilvl w:val="0"/>
          <w:numId w:val="3"/>
        </w:numPr>
        <w:jc w:val="both"/>
        <w:rPr>
          <w:lang w:val="uk-UA"/>
        </w:rPr>
      </w:pPr>
      <w:r w:rsidRPr="001563E0">
        <w:rPr>
          <w:lang w:val="uk-UA"/>
        </w:rPr>
        <w:t>огляд чинних національних і регіональних стратегій, програм та нормативно-правових актів у сфері аквакультури;</w:t>
      </w:r>
    </w:p>
    <w:p w14:paraId="0D4C3715" w14:textId="77777777" w:rsidR="001563E0" w:rsidRPr="001563E0" w:rsidRDefault="001563E0">
      <w:pPr>
        <w:pStyle w:val="ae"/>
        <w:numPr>
          <w:ilvl w:val="0"/>
          <w:numId w:val="3"/>
        </w:numPr>
        <w:jc w:val="both"/>
        <w:rPr>
          <w:lang w:val="uk-UA"/>
        </w:rPr>
      </w:pPr>
      <w:r w:rsidRPr="001563E0">
        <w:rPr>
          <w:lang w:val="uk-UA"/>
        </w:rPr>
        <w:t>моніторинг технологічних трендів, зокрема застосування штучного інтелекту, машинного навчання, IoT та систем дистанційного моніторингу в аквакультурі;</w:t>
      </w:r>
    </w:p>
    <w:p w14:paraId="3FE9E6D6" w14:textId="77777777" w:rsidR="001563E0" w:rsidRPr="001563E0" w:rsidRDefault="001563E0">
      <w:pPr>
        <w:pStyle w:val="ae"/>
        <w:numPr>
          <w:ilvl w:val="0"/>
          <w:numId w:val="3"/>
        </w:numPr>
        <w:jc w:val="both"/>
        <w:rPr>
          <w:lang w:val="uk-UA"/>
        </w:rPr>
      </w:pPr>
      <w:r w:rsidRPr="001563E0">
        <w:rPr>
          <w:lang w:val="uk-UA"/>
        </w:rPr>
        <w:t>аналіз результатів попередніх та поточних релевантних проєктів ЄС і програм транскордонного співробітництва.</w:t>
      </w:r>
    </w:p>
    <w:p w14:paraId="0B498127" w14:textId="77777777" w:rsidR="001563E0" w:rsidRPr="001563E0" w:rsidRDefault="001563E0" w:rsidP="001563E0">
      <w:pPr>
        <w:pStyle w:val="ae"/>
        <w:jc w:val="both"/>
        <w:rPr>
          <w:lang w:val="uk-UA"/>
        </w:rPr>
      </w:pPr>
      <w:r w:rsidRPr="001563E0">
        <w:rPr>
          <w:b/>
          <w:bCs/>
          <w:lang w:val="uk-UA"/>
        </w:rPr>
        <w:t>2. Польове дослідження (Primary Research)</w:t>
      </w:r>
    </w:p>
    <w:p w14:paraId="1DEC6DBE" w14:textId="47CC070B" w:rsidR="001563E0" w:rsidRPr="001563E0" w:rsidRDefault="001563E0">
      <w:pPr>
        <w:pStyle w:val="ae"/>
        <w:numPr>
          <w:ilvl w:val="0"/>
          <w:numId w:val="3"/>
        </w:numPr>
        <w:jc w:val="both"/>
        <w:rPr>
          <w:lang w:val="uk-UA"/>
        </w:rPr>
      </w:pPr>
      <w:r w:rsidRPr="001563E0">
        <w:rPr>
          <w:lang w:val="uk-UA"/>
        </w:rPr>
        <w:t>розробка інструментарію для збору первинних даних (анкети, гайди для глибинних інтерв</w:t>
      </w:r>
      <w:r w:rsidR="00655A98">
        <w:rPr>
          <w:lang w:val="uk-UA"/>
        </w:rPr>
        <w:t>’</w:t>
      </w:r>
      <w:r w:rsidRPr="001563E0">
        <w:rPr>
          <w:lang w:val="uk-UA"/>
        </w:rPr>
        <w:t>ю, опитувальники для фокус-груп);</w:t>
      </w:r>
    </w:p>
    <w:p w14:paraId="123ACAD2" w14:textId="50066125" w:rsidR="001563E0" w:rsidRPr="001563E0" w:rsidRDefault="001563E0">
      <w:pPr>
        <w:pStyle w:val="ae"/>
        <w:numPr>
          <w:ilvl w:val="0"/>
          <w:numId w:val="3"/>
        </w:numPr>
        <w:jc w:val="both"/>
        <w:rPr>
          <w:lang w:val="uk-UA"/>
        </w:rPr>
      </w:pPr>
      <w:r w:rsidRPr="001563E0">
        <w:rPr>
          <w:lang w:val="uk-UA"/>
        </w:rPr>
        <w:t>проведення структурованих інтерв</w:t>
      </w:r>
      <w:r w:rsidR="00655A98">
        <w:rPr>
          <w:lang w:val="uk-UA"/>
        </w:rPr>
        <w:t>’</w:t>
      </w:r>
      <w:r w:rsidRPr="001563E0">
        <w:rPr>
          <w:lang w:val="uk-UA"/>
        </w:rPr>
        <w:t>ю та опитувань серед представників галузі, експертів, підприємців і представників органів влади;</w:t>
      </w:r>
    </w:p>
    <w:p w14:paraId="7483A7FD" w14:textId="2E6B1B01" w:rsidR="001563E0" w:rsidRPr="001563E0" w:rsidRDefault="001563E0">
      <w:pPr>
        <w:pStyle w:val="ae"/>
        <w:numPr>
          <w:ilvl w:val="0"/>
          <w:numId w:val="3"/>
        </w:numPr>
        <w:jc w:val="both"/>
        <w:rPr>
          <w:lang w:val="uk-UA"/>
        </w:rPr>
      </w:pPr>
      <w:r w:rsidRPr="001563E0">
        <w:rPr>
          <w:lang w:val="uk-UA"/>
        </w:rPr>
        <w:t xml:space="preserve">збір та систематизація даних з урахуванням специфіки </w:t>
      </w:r>
      <w:r>
        <w:rPr>
          <w:lang w:val="uk-UA"/>
        </w:rPr>
        <w:t>ринку та сектору аквакультури</w:t>
      </w:r>
      <w:r w:rsidRPr="001563E0">
        <w:rPr>
          <w:lang w:val="uk-UA"/>
        </w:rPr>
        <w:t xml:space="preserve"> України як основного географічного фокусу дослідження;</w:t>
      </w:r>
    </w:p>
    <w:p w14:paraId="79D07C9C" w14:textId="02E3DCF6" w:rsidR="001563E0" w:rsidRPr="001563E0" w:rsidRDefault="001563E0">
      <w:pPr>
        <w:pStyle w:val="ae"/>
        <w:numPr>
          <w:ilvl w:val="0"/>
          <w:numId w:val="3"/>
        </w:numPr>
        <w:jc w:val="both"/>
        <w:rPr>
          <w:lang w:val="uk-UA"/>
        </w:rPr>
      </w:pPr>
      <w:r w:rsidRPr="001563E0">
        <w:rPr>
          <w:lang w:val="uk-UA"/>
        </w:rPr>
        <w:t>за необхідності залучення даних з країн-партнерів проєкту (Румунія, Вірменія, Болгарія, Греція, Грузія) для порівняльного аналізу та формування регіонального контексту.</w:t>
      </w:r>
    </w:p>
    <w:p w14:paraId="4E49557F" w14:textId="77777777" w:rsidR="001563E0" w:rsidRPr="001563E0" w:rsidRDefault="001563E0" w:rsidP="001563E0">
      <w:pPr>
        <w:pStyle w:val="ae"/>
        <w:jc w:val="both"/>
        <w:rPr>
          <w:lang w:val="uk-UA"/>
        </w:rPr>
      </w:pPr>
      <w:r w:rsidRPr="001563E0">
        <w:rPr>
          <w:b/>
          <w:bCs/>
          <w:lang w:val="uk-UA"/>
        </w:rPr>
        <w:t>3. Аналіз та інтерпретація даних</w:t>
      </w:r>
    </w:p>
    <w:p w14:paraId="6E61C778" w14:textId="77777777" w:rsidR="001563E0" w:rsidRPr="001563E0" w:rsidRDefault="001563E0">
      <w:pPr>
        <w:pStyle w:val="ae"/>
        <w:numPr>
          <w:ilvl w:val="0"/>
          <w:numId w:val="3"/>
        </w:numPr>
        <w:jc w:val="both"/>
        <w:rPr>
          <w:lang w:val="uk-UA"/>
        </w:rPr>
      </w:pPr>
      <w:r w:rsidRPr="001563E0">
        <w:rPr>
          <w:lang w:val="uk-UA"/>
        </w:rPr>
        <w:t>структурований аналіз зібраних первинних і вторинних даних з використанням релевантних аналітичних методів (SWOT, PESTLE, аналіз ланцюга створення вартості, конкурентний аналіз тощо);</w:t>
      </w:r>
    </w:p>
    <w:p w14:paraId="382E3ABC" w14:textId="17F2D858" w:rsidR="001563E0" w:rsidRPr="001563E0" w:rsidRDefault="001563E0">
      <w:pPr>
        <w:pStyle w:val="ae"/>
        <w:numPr>
          <w:ilvl w:val="0"/>
          <w:numId w:val="3"/>
        </w:numPr>
        <w:jc w:val="both"/>
        <w:rPr>
          <w:lang w:val="uk-UA"/>
        </w:rPr>
      </w:pPr>
      <w:r w:rsidRPr="001563E0">
        <w:rPr>
          <w:lang w:val="uk-UA"/>
        </w:rPr>
        <w:t>виявлення ключових ринкових можливостей і ризиків, пов</w:t>
      </w:r>
      <w:r w:rsidR="00655A98">
        <w:rPr>
          <w:lang w:val="uk-UA"/>
        </w:rPr>
        <w:t>’</w:t>
      </w:r>
      <w:r w:rsidRPr="001563E0">
        <w:rPr>
          <w:lang w:val="uk-UA"/>
        </w:rPr>
        <w:t>язаних із технологічною інтеграцією в аквакультурі;</w:t>
      </w:r>
    </w:p>
    <w:p w14:paraId="609006C0" w14:textId="77777777" w:rsidR="001563E0" w:rsidRPr="001563E0" w:rsidRDefault="001563E0">
      <w:pPr>
        <w:pStyle w:val="ae"/>
        <w:numPr>
          <w:ilvl w:val="0"/>
          <w:numId w:val="3"/>
        </w:numPr>
        <w:jc w:val="both"/>
        <w:rPr>
          <w:lang w:val="uk-UA"/>
        </w:rPr>
      </w:pPr>
      <w:r w:rsidRPr="001563E0">
        <w:rPr>
          <w:lang w:val="uk-UA"/>
        </w:rPr>
        <w:t xml:space="preserve">формулювання відповідей на три ключові дослідницькі питання проєкту: </w:t>
      </w:r>
    </w:p>
    <w:p w14:paraId="105FE665" w14:textId="77777777" w:rsidR="001563E0" w:rsidRPr="001563E0" w:rsidRDefault="001563E0">
      <w:pPr>
        <w:pStyle w:val="ae"/>
        <w:numPr>
          <w:ilvl w:val="1"/>
          <w:numId w:val="4"/>
        </w:numPr>
        <w:jc w:val="both"/>
        <w:rPr>
          <w:lang w:val="uk-UA"/>
        </w:rPr>
      </w:pPr>
      <w:r w:rsidRPr="001563E0">
        <w:rPr>
          <w:lang w:val="uk-UA"/>
        </w:rPr>
        <w:t>які є актуальні технологічні досягнення в аквакультурі;</w:t>
      </w:r>
    </w:p>
    <w:p w14:paraId="4A1660B8" w14:textId="77777777" w:rsidR="001563E0" w:rsidRPr="001563E0" w:rsidRDefault="001563E0">
      <w:pPr>
        <w:pStyle w:val="ae"/>
        <w:numPr>
          <w:ilvl w:val="1"/>
          <w:numId w:val="4"/>
        </w:numPr>
        <w:jc w:val="both"/>
        <w:rPr>
          <w:lang w:val="uk-UA"/>
        </w:rPr>
      </w:pPr>
      <w:r w:rsidRPr="001563E0">
        <w:rPr>
          <w:lang w:val="uk-UA"/>
        </w:rPr>
        <w:t>як технологічні інновації (зокрема ШІ та машинне навчання) можуть покращити сталість і продуктивність аквакультури з погляду експертів та представників галузі;</w:t>
      </w:r>
    </w:p>
    <w:p w14:paraId="57895D3E" w14:textId="0D35153E" w:rsidR="001563E0" w:rsidRPr="001563E0" w:rsidRDefault="001563E0">
      <w:pPr>
        <w:pStyle w:val="ae"/>
        <w:numPr>
          <w:ilvl w:val="1"/>
          <w:numId w:val="4"/>
        </w:numPr>
        <w:jc w:val="both"/>
        <w:rPr>
          <w:lang w:val="uk-UA"/>
        </w:rPr>
      </w:pPr>
      <w:r w:rsidRPr="001563E0">
        <w:rPr>
          <w:lang w:val="uk-UA"/>
        </w:rPr>
        <w:lastRenderedPageBreak/>
        <w:t>які потреби та ключові ризики пов</w:t>
      </w:r>
      <w:r w:rsidR="00655A98">
        <w:rPr>
          <w:lang w:val="uk-UA"/>
        </w:rPr>
        <w:t>’</w:t>
      </w:r>
      <w:r w:rsidRPr="001563E0">
        <w:rPr>
          <w:lang w:val="uk-UA"/>
        </w:rPr>
        <w:t>язані з технологічною інтеграцією в аквакультурі.</w:t>
      </w:r>
    </w:p>
    <w:p w14:paraId="4BCAEAAA" w14:textId="77777777" w:rsidR="001563E0" w:rsidRPr="001563E0" w:rsidRDefault="001563E0" w:rsidP="001563E0">
      <w:pPr>
        <w:pStyle w:val="ae"/>
        <w:jc w:val="both"/>
        <w:rPr>
          <w:lang w:val="uk-UA"/>
        </w:rPr>
      </w:pPr>
      <w:r w:rsidRPr="001563E0">
        <w:rPr>
          <w:b/>
          <w:bCs/>
          <w:lang w:val="uk-UA"/>
        </w:rPr>
        <w:t>4. Підготовка звітної документації</w:t>
      </w:r>
    </w:p>
    <w:p w14:paraId="42995F1D" w14:textId="7EAC75AB" w:rsidR="001563E0" w:rsidRPr="001563E0" w:rsidRDefault="001563E0">
      <w:pPr>
        <w:pStyle w:val="ae"/>
        <w:numPr>
          <w:ilvl w:val="0"/>
          <w:numId w:val="3"/>
        </w:numPr>
        <w:jc w:val="both"/>
        <w:rPr>
          <w:lang w:val="uk-UA"/>
        </w:rPr>
      </w:pPr>
      <w:r w:rsidRPr="001563E0">
        <w:rPr>
          <w:lang w:val="uk-UA"/>
        </w:rPr>
        <w:t>підготовка проміжних аналітичних матеріалів за результатами кожного звітного періоду (</w:t>
      </w:r>
      <w:r>
        <w:rPr>
          <w:lang w:val="uk-UA"/>
        </w:rPr>
        <w:t xml:space="preserve">аналітичні звіти, </w:t>
      </w:r>
      <w:r w:rsidRPr="001563E0">
        <w:rPr>
          <w:lang w:val="uk-UA"/>
        </w:rPr>
        <w:t xml:space="preserve">робочі нотатки, зведені таблиці, аналітичні </w:t>
      </w:r>
      <w:r>
        <w:rPr>
          <w:lang w:val="uk-UA"/>
        </w:rPr>
        <w:t>довідки, записки, ін.</w:t>
      </w:r>
      <w:r w:rsidRPr="001563E0">
        <w:rPr>
          <w:lang w:val="uk-UA"/>
        </w:rPr>
        <w:t>);</w:t>
      </w:r>
    </w:p>
    <w:p w14:paraId="10E2AFD5" w14:textId="1498F7EF" w:rsidR="001563E0" w:rsidRPr="001563E0" w:rsidRDefault="001563E0">
      <w:pPr>
        <w:pStyle w:val="ae"/>
        <w:numPr>
          <w:ilvl w:val="0"/>
          <w:numId w:val="3"/>
        </w:numPr>
        <w:jc w:val="both"/>
        <w:rPr>
          <w:lang w:val="uk-UA"/>
        </w:rPr>
      </w:pPr>
      <w:r w:rsidRPr="001563E0">
        <w:rPr>
          <w:lang w:val="uk-UA"/>
        </w:rPr>
        <w:t>підготовка фінального звіту маркетингового дослідження відповідно до методологічних вимог проєкту</w:t>
      </w:r>
      <w:r>
        <w:rPr>
          <w:lang w:val="uk-UA"/>
        </w:rPr>
        <w:t xml:space="preserve"> – </w:t>
      </w:r>
      <w:r w:rsidRPr="001563E0">
        <w:rPr>
          <w:lang w:val="uk-UA"/>
        </w:rPr>
        <w:t>структурованого, доказового, із чіткими висновками та практичними рекомендаціями для стейкхолдерів галузі;</w:t>
      </w:r>
    </w:p>
    <w:p w14:paraId="63803F1D" w14:textId="77777777" w:rsidR="001563E0" w:rsidRPr="001563E0" w:rsidRDefault="001563E0">
      <w:pPr>
        <w:pStyle w:val="ae"/>
        <w:numPr>
          <w:ilvl w:val="0"/>
          <w:numId w:val="3"/>
        </w:numPr>
        <w:jc w:val="both"/>
        <w:rPr>
          <w:lang w:val="uk-UA"/>
        </w:rPr>
      </w:pPr>
      <w:r w:rsidRPr="001563E0">
        <w:rPr>
          <w:lang w:val="uk-UA"/>
        </w:rPr>
        <w:t>участь (за потреби) у підготовці наукової статті на основі результатів дослідження для подальшої публікації у фаховому виданні;</w:t>
      </w:r>
    </w:p>
    <w:p w14:paraId="4A023957" w14:textId="77777777" w:rsidR="001563E0" w:rsidRPr="001563E0" w:rsidRDefault="001563E0">
      <w:pPr>
        <w:pStyle w:val="ae"/>
        <w:numPr>
          <w:ilvl w:val="0"/>
          <w:numId w:val="3"/>
        </w:numPr>
        <w:jc w:val="both"/>
        <w:rPr>
          <w:lang w:val="uk-UA"/>
        </w:rPr>
      </w:pPr>
      <w:r w:rsidRPr="001563E0">
        <w:rPr>
          <w:lang w:val="uk-UA"/>
        </w:rPr>
        <w:t>надання вхідних даних для наповнення цифрової платформи AQUA-SMART та розробки навчальних матеріалів у межах інших активностей проєкту.</w:t>
      </w:r>
    </w:p>
    <w:p w14:paraId="525E9778" w14:textId="77777777" w:rsidR="001563E0" w:rsidRPr="001563E0" w:rsidRDefault="001563E0" w:rsidP="001563E0">
      <w:pPr>
        <w:pStyle w:val="ae"/>
        <w:jc w:val="both"/>
        <w:rPr>
          <w:lang w:val="uk-UA"/>
        </w:rPr>
      </w:pPr>
      <w:r w:rsidRPr="001563E0">
        <w:rPr>
          <w:b/>
          <w:bCs/>
          <w:lang w:val="uk-UA"/>
        </w:rPr>
        <w:t>5. Координація та комунікація в межах проєкту</w:t>
      </w:r>
    </w:p>
    <w:p w14:paraId="11E5C0C5" w14:textId="48F00C04" w:rsidR="001563E0" w:rsidRPr="001563E0" w:rsidRDefault="001563E0">
      <w:pPr>
        <w:pStyle w:val="ae"/>
        <w:numPr>
          <w:ilvl w:val="0"/>
          <w:numId w:val="3"/>
        </w:numPr>
        <w:jc w:val="both"/>
        <w:rPr>
          <w:lang w:val="uk-UA"/>
        </w:rPr>
      </w:pPr>
      <w:r w:rsidRPr="001563E0">
        <w:rPr>
          <w:lang w:val="uk-UA"/>
        </w:rPr>
        <w:t>регулярна взаємодія з проєктною командою та партнерами консорціуму щодо проміжних результатів, методологічних підходів і пріоритетів дослідження;</w:t>
      </w:r>
    </w:p>
    <w:p w14:paraId="362107CE" w14:textId="77777777" w:rsidR="001563E0" w:rsidRPr="001563E0" w:rsidRDefault="001563E0">
      <w:pPr>
        <w:pStyle w:val="ae"/>
        <w:numPr>
          <w:ilvl w:val="0"/>
          <w:numId w:val="3"/>
        </w:numPr>
        <w:jc w:val="both"/>
        <w:rPr>
          <w:lang w:val="uk-UA"/>
        </w:rPr>
      </w:pPr>
      <w:r w:rsidRPr="001563E0">
        <w:rPr>
          <w:lang w:val="uk-UA"/>
        </w:rPr>
        <w:t>участь у внутрішніх проєктних зустрічах та робочих сесіях (за необхідності);</w:t>
      </w:r>
    </w:p>
    <w:p w14:paraId="2C353331" w14:textId="77777777" w:rsidR="001563E0" w:rsidRPr="001563E0" w:rsidRDefault="001563E0">
      <w:pPr>
        <w:pStyle w:val="ae"/>
        <w:numPr>
          <w:ilvl w:val="0"/>
          <w:numId w:val="3"/>
        </w:numPr>
        <w:jc w:val="both"/>
        <w:rPr>
          <w:lang w:val="uk-UA"/>
        </w:rPr>
      </w:pPr>
      <w:r w:rsidRPr="001563E0">
        <w:rPr>
          <w:lang w:val="uk-UA"/>
        </w:rPr>
        <w:t>своєчасне надання звітних матеріалів відповідно до календарного плану проєкту та вимог програми Interreg.</w:t>
      </w:r>
    </w:p>
    <w:p w14:paraId="792D68C2" w14:textId="77777777" w:rsidR="001563E0" w:rsidRPr="001563E0" w:rsidRDefault="001563E0" w:rsidP="001563E0">
      <w:pPr>
        <w:pStyle w:val="ae"/>
        <w:jc w:val="both"/>
        <w:rPr>
          <w:lang w:val="uk-UA"/>
        </w:rPr>
      </w:pPr>
      <w:r w:rsidRPr="001563E0">
        <w:rPr>
          <w:lang w:val="uk-UA"/>
        </w:rPr>
        <w:t>За підсумками надання послуг мають бути забезпечені:</w:t>
      </w:r>
    </w:p>
    <w:p w14:paraId="5E18C95E" w14:textId="689DF879" w:rsidR="001563E0" w:rsidRPr="001563E0" w:rsidRDefault="001563E0">
      <w:pPr>
        <w:pStyle w:val="ae"/>
        <w:numPr>
          <w:ilvl w:val="0"/>
          <w:numId w:val="2"/>
        </w:numPr>
        <w:jc w:val="both"/>
        <w:rPr>
          <w:lang w:val="uk-UA"/>
        </w:rPr>
      </w:pPr>
      <w:r w:rsidRPr="001563E0">
        <w:rPr>
          <w:lang w:val="uk-UA"/>
        </w:rPr>
        <w:t xml:space="preserve">сформована актуальна аналітична база даних щодо </w:t>
      </w:r>
      <w:r>
        <w:rPr>
          <w:lang w:val="uk-UA"/>
        </w:rPr>
        <w:t>сектору аквакультури</w:t>
      </w:r>
      <w:r w:rsidRPr="001563E0">
        <w:rPr>
          <w:lang w:val="uk-UA"/>
        </w:rPr>
        <w:t xml:space="preserve"> України та Чорноморського регіону;</w:t>
      </w:r>
    </w:p>
    <w:p w14:paraId="77F214C1" w14:textId="25400418" w:rsidR="001563E0" w:rsidRPr="001563E0" w:rsidRDefault="001563E0">
      <w:pPr>
        <w:pStyle w:val="ae"/>
        <w:numPr>
          <w:ilvl w:val="0"/>
          <w:numId w:val="2"/>
        </w:numPr>
        <w:jc w:val="both"/>
        <w:rPr>
          <w:lang w:val="uk-UA"/>
        </w:rPr>
      </w:pPr>
      <w:r w:rsidRPr="001563E0">
        <w:rPr>
          <w:lang w:val="uk-UA"/>
        </w:rPr>
        <w:t xml:space="preserve">проміжні аналітичні матеріали за кожним із </w:t>
      </w:r>
      <w:r w:rsidR="005F1A4F">
        <w:rPr>
          <w:lang w:val="uk-UA"/>
        </w:rPr>
        <w:t>семи</w:t>
      </w:r>
      <w:r w:rsidRPr="001563E0">
        <w:rPr>
          <w:lang w:val="uk-UA"/>
        </w:rPr>
        <w:t xml:space="preserve"> звітних періодів;</w:t>
      </w:r>
    </w:p>
    <w:p w14:paraId="1D1328C0" w14:textId="77777777" w:rsidR="001563E0" w:rsidRPr="001563E0" w:rsidRDefault="001563E0">
      <w:pPr>
        <w:pStyle w:val="ae"/>
        <w:numPr>
          <w:ilvl w:val="0"/>
          <w:numId w:val="2"/>
        </w:numPr>
        <w:jc w:val="both"/>
        <w:rPr>
          <w:lang w:val="uk-UA"/>
        </w:rPr>
      </w:pPr>
      <w:r w:rsidRPr="001563E0">
        <w:rPr>
          <w:lang w:val="uk-UA"/>
        </w:rPr>
        <w:t>фінальний звіт маркетингового дослідження з висновками та рекомендаціями, придатний для використання у наукових публікаціях, навчальних програмах та комунікаційних матеріалах проєкту;</w:t>
      </w:r>
    </w:p>
    <w:p w14:paraId="19453B77" w14:textId="6E998B3A" w:rsidR="00B330DC" w:rsidRDefault="001563E0">
      <w:pPr>
        <w:pStyle w:val="ae"/>
        <w:numPr>
          <w:ilvl w:val="0"/>
          <w:numId w:val="2"/>
        </w:numPr>
        <w:jc w:val="both"/>
        <w:rPr>
          <w:lang w:val="uk-UA"/>
        </w:rPr>
      </w:pPr>
      <w:r w:rsidRPr="001563E0">
        <w:rPr>
          <w:lang w:val="uk-UA"/>
        </w:rPr>
        <w:t xml:space="preserve">доказова основа для прийняття рішень щодо технологічної модернізації сектору </w:t>
      </w:r>
      <w:r>
        <w:rPr>
          <w:lang w:val="uk-UA"/>
        </w:rPr>
        <w:t xml:space="preserve">аквакультури </w:t>
      </w:r>
      <w:r w:rsidRPr="001563E0">
        <w:rPr>
          <w:lang w:val="uk-UA"/>
        </w:rPr>
        <w:t>в регіоні</w:t>
      </w:r>
      <w:r w:rsidR="007C1155" w:rsidRPr="001563E0">
        <w:rPr>
          <w:lang w:val="uk-UA"/>
        </w:rPr>
        <w:t>.</w:t>
      </w:r>
    </w:p>
    <w:p w14:paraId="7FD98BB2" w14:textId="046A63C4" w:rsidR="00596352" w:rsidRPr="00F9743E" w:rsidRDefault="0051592E" w:rsidP="00C26F53">
      <w:pPr>
        <w:pStyle w:val="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Pr>
          <w:rFonts w:ascii="Times New Roman" w:hAnsi="Times New Roman" w:cs="Times New Roman"/>
          <w:smallCaps/>
          <w:color w:val="auto"/>
          <w:sz w:val="24"/>
          <w:szCs w:val="24"/>
          <w:lang w:val="uk-UA"/>
        </w:rPr>
        <w:t xml:space="preserve">УМОВИ </w:t>
      </w:r>
      <w:r w:rsidR="00272B53">
        <w:rPr>
          <w:rFonts w:ascii="Times New Roman" w:hAnsi="Times New Roman" w:cs="Times New Roman"/>
          <w:smallCaps/>
          <w:color w:val="auto"/>
          <w:sz w:val="24"/>
          <w:szCs w:val="24"/>
          <w:lang w:val="uk-UA"/>
        </w:rPr>
        <w:t>РОБОТИ</w:t>
      </w:r>
    </w:p>
    <w:p w14:paraId="7C46F28D" w14:textId="3484B7DB" w:rsidR="00655A98" w:rsidRPr="00655A98" w:rsidRDefault="00655A98" w:rsidP="00655A98">
      <w:pPr>
        <w:pStyle w:val="ae"/>
        <w:tabs>
          <w:tab w:val="left" w:pos="142"/>
        </w:tabs>
        <w:spacing w:before="120" w:beforeAutospacing="0" w:after="0" w:afterAutospacing="0"/>
        <w:ind w:left="1077"/>
        <w:jc w:val="both"/>
        <w:rPr>
          <w:lang w:val="uk-UA"/>
        </w:rPr>
      </w:pPr>
      <w:r w:rsidRPr="00655A98">
        <w:rPr>
          <w:lang w:val="uk-UA"/>
        </w:rPr>
        <w:t>Усі послуги надаються відповідно до затвердженого плану реалізації проєкту, календаря проєктних активностей, внутрішніх процедур Замовника та вимог програми Interreg NEXT Black Sea Basin. Виконавець зобов</w:t>
      </w:r>
      <w:r>
        <w:rPr>
          <w:lang w:val="uk-UA"/>
        </w:rPr>
        <w:t>’</w:t>
      </w:r>
      <w:r w:rsidRPr="00655A98">
        <w:rPr>
          <w:lang w:val="uk-UA"/>
        </w:rPr>
        <w:t>язаний враховувати специфіку транскордонної науково-дослідницької співпраці, методологічні вимоги проєкту, а також правила щодо допустимості та обґрунтованості витрат.</w:t>
      </w:r>
    </w:p>
    <w:p w14:paraId="48D40821" w14:textId="0FBAB653" w:rsidR="00655A98" w:rsidRPr="00655A98" w:rsidRDefault="00655A98" w:rsidP="00655A98">
      <w:pPr>
        <w:pStyle w:val="ae"/>
        <w:tabs>
          <w:tab w:val="left" w:pos="142"/>
        </w:tabs>
        <w:spacing w:before="120" w:beforeAutospacing="0" w:after="0" w:afterAutospacing="0"/>
        <w:ind w:left="1077"/>
        <w:jc w:val="both"/>
        <w:rPr>
          <w:lang w:val="uk-UA"/>
        </w:rPr>
      </w:pPr>
      <w:r w:rsidRPr="00655A98">
        <w:rPr>
          <w:lang w:val="uk-UA"/>
        </w:rPr>
        <w:t xml:space="preserve">Послуги надаються одним дослідником протягом </w:t>
      </w:r>
      <w:r w:rsidR="005F1A4F">
        <w:rPr>
          <w:lang w:val="uk-UA"/>
        </w:rPr>
        <w:t>семи</w:t>
      </w:r>
      <w:r w:rsidRPr="00655A98">
        <w:rPr>
          <w:lang w:val="uk-UA"/>
        </w:rPr>
        <w:t xml:space="preserve"> звітних періодів проєкту (Періоди 1</w:t>
      </w:r>
      <w:r>
        <w:rPr>
          <w:lang w:val="uk-UA"/>
        </w:rPr>
        <w:t>-</w:t>
      </w:r>
      <w:r w:rsidR="005F1A4F">
        <w:rPr>
          <w:lang w:val="uk-UA"/>
        </w:rPr>
        <w:t>7</w:t>
      </w:r>
      <w:r w:rsidRPr="00655A98">
        <w:rPr>
          <w:lang w:val="uk-UA"/>
        </w:rPr>
        <w:t>), загальною тривалістю орієнтовно 2</w:t>
      </w:r>
      <w:r w:rsidR="00741333">
        <w:rPr>
          <w:lang w:val="uk-UA"/>
        </w:rPr>
        <w:t>8</w:t>
      </w:r>
      <w:r w:rsidRPr="00655A98">
        <w:rPr>
          <w:lang w:val="uk-UA"/>
        </w:rPr>
        <w:t xml:space="preserve"> місяців. Загальний обсяг послуг становить </w:t>
      </w:r>
      <w:r w:rsidR="005F1A4F">
        <w:rPr>
          <w:lang w:val="uk-UA"/>
        </w:rPr>
        <w:t>840</w:t>
      </w:r>
      <w:r w:rsidRPr="00655A98">
        <w:rPr>
          <w:lang w:val="uk-UA"/>
        </w:rPr>
        <w:t xml:space="preserve"> годин, розподілених рівномірно між звітними періодами </w:t>
      </w:r>
      <w:r>
        <w:rPr>
          <w:lang w:val="uk-UA"/>
        </w:rPr>
        <w:t>–</w:t>
      </w:r>
      <w:r w:rsidRPr="00655A98">
        <w:rPr>
          <w:lang w:val="uk-UA"/>
        </w:rPr>
        <w:t xml:space="preserve"> по</w:t>
      </w:r>
      <w:r>
        <w:rPr>
          <w:lang w:val="uk-UA"/>
        </w:rPr>
        <w:t xml:space="preserve"> </w:t>
      </w:r>
      <w:r w:rsidRPr="00655A98">
        <w:rPr>
          <w:lang w:val="uk-UA"/>
        </w:rPr>
        <w:t>120 годин на кожен чотиримісячний період. Фактичний розподіл годин у межах кожного періоду визначається погодженим робочим планом.</w:t>
      </w:r>
    </w:p>
    <w:p w14:paraId="0948AC0A" w14:textId="77777777" w:rsidR="00655A98" w:rsidRPr="00655A98" w:rsidRDefault="00655A98" w:rsidP="00655A98">
      <w:pPr>
        <w:pStyle w:val="ae"/>
        <w:tabs>
          <w:tab w:val="left" w:pos="142"/>
        </w:tabs>
        <w:spacing w:before="120" w:beforeAutospacing="0" w:after="0" w:afterAutospacing="0"/>
        <w:ind w:left="1077"/>
        <w:jc w:val="both"/>
        <w:rPr>
          <w:lang w:val="uk-UA"/>
        </w:rPr>
      </w:pPr>
      <w:r w:rsidRPr="00655A98">
        <w:rPr>
          <w:lang w:val="uk-UA"/>
        </w:rPr>
        <w:t>Надання послуг здійснюється за принципом попереднього погодження з Замовником усіх ключових параметрів дослідницької діяльності, зокрема: тематичного фокусу та методологічних підходів на кожному етапі, переліку джерел і респондентів, структури проміжних і підсумкових звітних матеріалів, а також будь-яких відхилень від затвердженого плану. Самостійне прийняття рішень щодо суттєвих змін у методології або обсязі робіт без погодження Замовника не допускається.</w:t>
      </w:r>
    </w:p>
    <w:p w14:paraId="43FCAB23" w14:textId="77777777" w:rsidR="00655A98" w:rsidRPr="00655A98" w:rsidRDefault="00655A98" w:rsidP="00655A98">
      <w:pPr>
        <w:pStyle w:val="ae"/>
        <w:tabs>
          <w:tab w:val="left" w:pos="142"/>
        </w:tabs>
        <w:spacing w:before="120" w:beforeAutospacing="0" w:after="0" w:afterAutospacing="0"/>
        <w:ind w:left="1077"/>
        <w:jc w:val="both"/>
        <w:rPr>
          <w:lang w:val="uk-UA"/>
        </w:rPr>
      </w:pPr>
      <w:r w:rsidRPr="00655A98">
        <w:rPr>
          <w:lang w:val="uk-UA"/>
        </w:rPr>
        <w:lastRenderedPageBreak/>
        <w:t>Виконавець забезпечує рівномірне та систематичне виконання робіт протягом кожного звітного періоду. Концентрація значної частини обсягу робіт наприкінці звітного періоду без обґрунтованих підстав є неприйнятною. Замовник має право здійснювати поточний моніторинг прогресу виконання робіт.</w:t>
      </w:r>
    </w:p>
    <w:p w14:paraId="4F3E3DB3" w14:textId="77777777" w:rsidR="00655A98" w:rsidRPr="00655A98" w:rsidRDefault="00655A98" w:rsidP="00655A98">
      <w:pPr>
        <w:pStyle w:val="ae"/>
        <w:tabs>
          <w:tab w:val="left" w:pos="142"/>
        </w:tabs>
        <w:spacing w:before="120" w:beforeAutospacing="0" w:after="0" w:afterAutospacing="0"/>
        <w:ind w:left="1077"/>
        <w:jc w:val="both"/>
        <w:rPr>
          <w:lang w:val="uk-UA"/>
        </w:rPr>
      </w:pPr>
      <w:r w:rsidRPr="00655A98">
        <w:rPr>
          <w:lang w:val="uk-UA"/>
        </w:rPr>
        <w:t>За підсумками кожного звітного періоду Виконавець надає Замовнику проміжний звіт про виконані роботи, що містить опис здійснених дослідницьких активностей, отриманих результатів, використаних джерел, а також табель обліку робочого часу із зазначенням дат, виду робіт та фактично витрачених годин. Проміжні звіти є підставою для проведення оплати за відповідний період.</w:t>
      </w:r>
    </w:p>
    <w:p w14:paraId="21D1C9A8" w14:textId="77777777" w:rsidR="00655A98" w:rsidRPr="00655A98" w:rsidRDefault="00655A98" w:rsidP="00655A98">
      <w:pPr>
        <w:pStyle w:val="ae"/>
        <w:tabs>
          <w:tab w:val="left" w:pos="142"/>
        </w:tabs>
        <w:spacing w:before="120" w:beforeAutospacing="0" w:after="0" w:afterAutospacing="0"/>
        <w:ind w:left="1077"/>
        <w:jc w:val="both"/>
        <w:rPr>
          <w:lang w:val="uk-UA"/>
        </w:rPr>
      </w:pPr>
      <w:r w:rsidRPr="00655A98">
        <w:rPr>
          <w:lang w:val="uk-UA"/>
        </w:rPr>
        <w:t>Усі дослідницькі матеріали, аналітичні документи, бази даних, інструменти збору інформації та будь-які інші результати інтелектуальної діяльності, створені в межах виконання договору, є власністю Замовника та можуть використовуватися ним без обмежень у межах реалізації проєкту, звітності, наукових публікацій, аудиту та комунікаційної діяльності.</w:t>
      </w:r>
    </w:p>
    <w:p w14:paraId="0831EC67" w14:textId="368C6377" w:rsidR="00655A98" w:rsidRPr="00655A98" w:rsidRDefault="00655A98" w:rsidP="00655A98">
      <w:pPr>
        <w:pStyle w:val="ae"/>
        <w:tabs>
          <w:tab w:val="left" w:pos="142"/>
        </w:tabs>
        <w:spacing w:before="120" w:beforeAutospacing="0" w:after="0" w:afterAutospacing="0"/>
        <w:ind w:left="1077"/>
        <w:jc w:val="both"/>
        <w:rPr>
          <w:lang w:val="uk-UA"/>
        </w:rPr>
      </w:pPr>
      <w:r w:rsidRPr="00655A98">
        <w:rPr>
          <w:lang w:val="uk-UA"/>
        </w:rPr>
        <w:t>Виконавець зобов</w:t>
      </w:r>
      <w:r>
        <w:rPr>
          <w:lang w:val="uk-UA"/>
        </w:rPr>
        <w:t>’</w:t>
      </w:r>
      <w:r w:rsidRPr="00655A98">
        <w:rPr>
          <w:lang w:val="uk-UA"/>
        </w:rPr>
        <w:t>язується дотримуватися найвищих стандартів наукової доброчесності та дослідницької етики, зокрема: забезпечувати достовірність і верифікованість використаних даних, коректно посилатися на використані джерела, уникати будь-яких форм плагіату та фабрикації даних, а також дотримуватися принципів конфіденційності щодо інформації, отриманої від респондентів у ході первинних досліджень.</w:t>
      </w:r>
    </w:p>
    <w:p w14:paraId="7E46F1FF" w14:textId="58AC8BAD" w:rsidR="00655A98" w:rsidRPr="00655A98" w:rsidRDefault="00655A98" w:rsidP="00655A98">
      <w:pPr>
        <w:pStyle w:val="ae"/>
        <w:tabs>
          <w:tab w:val="left" w:pos="142"/>
        </w:tabs>
        <w:spacing w:before="120" w:beforeAutospacing="0" w:after="0" w:afterAutospacing="0"/>
        <w:ind w:left="1077"/>
        <w:jc w:val="both"/>
        <w:rPr>
          <w:lang w:val="uk-UA"/>
        </w:rPr>
      </w:pPr>
      <w:r w:rsidRPr="00655A98">
        <w:rPr>
          <w:lang w:val="uk-UA"/>
        </w:rPr>
        <w:t>Виконавець зобов</w:t>
      </w:r>
      <w:r>
        <w:rPr>
          <w:lang w:val="uk-UA"/>
        </w:rPr>
        <w:t>’</w:t>
      </w:r>
      <w:r w:rsidRPr="00655A98">
        <w:rPr>
          <w:lang w:val="uk-UA"/>
        </w:rPr>
        <w:t>язується дотримуватися вимог конфіденційності щодо будь-якої інформації, отриманої в процесі виконання договору, включаючи внутрішні документи проєкту, фінансові дані, персональні дані учасників опитувань та стратегічні матеріали консорціуму, і не має права передавати таку інформацію третім особам без письмового погодження Замовника.</w:t>
      </w:r>
    </w:p>
    <w:p w14:paraId="02BEC7E4" w14:textId="57E780AC" w:rsidR="00655A98" w:rsidRPr="00655A98" w:rsidRDefault="00655A98" w:rsidP="00655A98">
      <w:pPr>
        <w:pStyle w:val="ae"/>
        <w:tabs>
          <w:tab w:val="left" w:pos="142"/>
        </w:tabs>
        <w:spacing w:before="120" w:beforeAutospacing="0" w:after="0" w:afterAutospacing="0"/>
        <w:ind w:left="1077"/>
        <w:jc w:val="both"/>
        <w:rPr>
          <w:lang w:val="uk-UA"/>
        </w:rPr>
      </w:pPr>
      <w:r w:rsidRPr="00655A98">
        <w:rPr>
          <w:lang w:val="uk-UA"/>
        </w:rPr>
        <w:t xml:space="preserve">Виконавець забезпечує постійну та ефективну комунікацію із Замовником, включаючи своєчасне інформування про хід виконання робіт, виявлені методологічні труднощі, ризики затримок або необхідність коригування дослідницького плану. Рекомендована частота регулярної комунікації </w:t>
      </w:r>
      <w:r>
        <w:rPr>
          <w:lang w:val="uk-UA"/>
        </w:rPr>
        <w:t>–</w:t>
      </w:r>
      <w:r w:rsidRPr="00655A98">
        <w:rPr>
          <w:lang w:val="uk-UA"/>
        </w:rPr>
        <w:t xml:space="preserve"> не</w:t>
      </w:r>
      <w:r>
        <w:rPr>
          <w:lang w:val="uk-UA"/>
        </w:rPr>
        <w:t xml:space="preserve"> </w:t>
      </w:r>
      <w:r w:rsidRPr="00655A98">
        <w:rPr>
          <w:lang w:val="uk-UA"/>
        </w:rPr>
        <w:t>рідше одного разу на місяць у форматі, погодженому із Замовником.</w:t>
      </w:r>
    </w:p>
    <w:p w14:paraId="6C0719DE" w14:textId="75484E1A" w:rsidR="00655A98" w:rsidRPr="00655A98" w:rsidRDefault="00655A98" w:rsidP="00655A98">
      <w:pPr>
        <w:pStyle w:val="ae"/>
        <w:tabs>
          <w:tab w:val="left" w:pos="142"/>
        </w:tabs>
        <w:spacing w:before="120" w:beforeAutospacing="0" w:after="0" w:afterAutospacing="0"/>
        <w:ind w:left="1077"/>
        <w:jc w:val="both"/>
        <w:rPr>
          <w:lang w:val="uk-UA"/>
        </w:rPr>
      </w:pPr>
      <w:r w:rsidRPr="00655A98">
        <w:rPr>
          <w:lang w:val="uk-UA"/>
        </w:rPr>
        <w:t>У разі виявлення недоліків, неточностей або невідповідностей у наданих матеріалах Виконавець зобов</w:t>
      </w:r>
      <w:r>
        <w:rPr>
          <w:lang w:val="uk-UA"/>
        </w:rPr>
        <w:t>’</w:t>
      </w:r>
      <w:r w:rsidRPr="00655A98">
        <w:rPr>
          <w:lang w:val="uk-UA"/>
        </w:rPr>
        <w:t>язується здійснити їх виправлення безоплатно та у найкоротші строки. Кількість ітерацій доопрацювання не обмежується до моменту повного виконання вимог Замовника.</w:t>
      </w:r>
    </w:p>
    <w:p w14:paraId="677841A6" w14:textId="180A4A70" w:rsidR="00655A98" w:rsidRPr="00956EBA" w:rsidRDefault="00655A98" w:rsidP="00655A98">
      <w:pPr>
        <w:pStyle w:val="ae"/>
        <w:tabs>
          <w:tab w:val="left" w:pos="142"/>
        </w:tabs>
        <w:spacing w:before="120" w:beforeAutospacing="0" w:after="0" w:afterAutospacing="0"/>
        <w:ind w:left="1077"/>
        <w:jc w:val="both"/>
        <w:rPr>
          <w:lang w:val="uk-UA"/>
        </w:rPr>
      </w:pPr>
      <w:r w:rsidRPr="00655A98">
        <w:rPr>
          <w:lang w:val="uk-UA"/>
        </w:rPr>
        <w:t>Усі витрати, пов</w:t>
      </w:r>
      <w:r>
        <w:rPr>
          <w:lang w:val="uk-UA"/>
        </w:rPr>
        <w:t>’</w:t>
      </w:r>
      <w:r w:rsidRPr="00655A98">
        <w:rPr>
          <w:lang w:val="uk-UA"/>
        </w:rPr>
        <w:t xml:space="preserve">язані з організацією та проведенням дослідження (включаючи доступ до баз даних, передплату джерел, комунікацію з респондентами, технічне забезпечення </w:t>
      </w:r>
      <w:r w:rsidRPr="00956EBA">
        <w:rPr>
          <w:lang w:val="uk-UA"/>
        </w:rPr>
        <w:t>роботи тощо), якщо вони не передбачені окремою статтею бюджету, мають бути включені до вартості послуг і не підлягають додатковій компенсації, якщо інше не погоджено із Замовником у письмовій формі.</w:t>
      </w:r>
    </w:p>
    <w:p w14:paraId="415F5D45" w14:textId="110E8484" w:rsidR="00B330DC" w:rsidRPr="00956EBA" w:rsidRDefault="00B330DC" w:rsidP="00655A98">
      <w:pPr>
        <w:pStyle w:val="ae"/>
        <w:tabs>
          <w:tab w:val="left" w:pos="142"/>
        </w:tabs>
        <w:spacing w:before="120" w:beforeAutospacing="0" w:after="120" w:afterAutospacing="0"/>
        <w:ind w:left="1080"/>
        <w:jc w:val="both"/>
        <w:rPr>
          <w:lang w:val="uk-UA"/>
        </w:rPr>
      </w:pPr>
    </w:p>
    <w:p w14:paraId="293972E0" w14:textId="3B10CB22" w:rsidR="003B5A58" w:rsidRPr="00956EBA" w:rsidRDefault="00390183" w:rsidP="00C26F53">
      <w:pPr>
        <w:pStyle w:val="a6"/>
        <w:numPr>
          <w:ilvl w:val="0"/>
          <w:numId w:val="1"/>
        </w:numPr>
        <w:tabs>
          <w:tab w:val="clear" w:pos="567"/>
          <w:tab w:val="left" w:pos="0"/>
          <w:tab w:val="left" w:pos="10065"/>
        </w:tabs>
        <w:spacing w:before="120" w:after="120" w:line="240" w:lineRule="auto"/>
        <w:ind w:right="-312"/>
        <w:rPr>
          <w:rFonts w:eastAsiaTheme="majorEastAsia"/>
          <w:bCs/>
          <w:smallCaps/>
          <w:sz w:val="24"/>
          <w:szCs w:val="24"/>
          <w:lang w:val="uk-UA"/>
        </w:rPr>
      </w:pPr>
      <w:r w:rsidRPr="00956EBA">
        <w:rPr>
          <w:rFonts w:eastAsiaTheme="majorEastAsia"/>
          <w:bCs/>
          <w:smallCaps/>
          <w:sz w:val="24"/>
          <w:szCs w:val="24"/>
          <w:lang w:val="uk-UA"/>
        </w:rPr>
        <w:t>БЮДЖЕТ</w:t>
      </w:r>
    </w:p>
    <w:p w14:paraId="552F6396" w14:textId="16BF7CF3" w:rsidR="00655A98" w:rsidRPr="00956EBA" w:rsidRDefault="00655A98" w:rsidP="00655A98">
      <w:pPr>
        <w:pStyle w:val="a6"/>
        <w:tabs>
          <w:tab w:val="left" w:pos="284"/>
          <w:tab w:val="left" w:pos="1418"/>
          <w:tab w:val="left" w:pos="10065"/>
        </w:tabs>
        <w:spacing w:before="120" w:after="120"/>
        <w:ind w:right="-312"/>
        <w:rPr>
          <w:rFonts w:eastAsia="MS Mincho"/>
          <w:b w:val="0"/>
          <w:sz w:val="24"/>
          <w:szCs w:val="24"/>
          <w:lang w:val="uk-UA" w:eastAsia="ja-JP"/>
        </w:rPr>
      </w:pPr>
      <w:r w:rsidRPr="00956EBA">
        <w:rPr>
          <w:rFonts w:eastAsia="MS Mincho"/>
          <w:b w:val="0"/>
          <w:sz w:val="24"/>
          <w:szCs w:val="24"/>
          <w:lang w:val="uk-UA" w:eastAsia="ja-JP"/>
        </w:rPr>
        <w:t xml:space="preserve">Бюджет на надання послуг формується на основі погодинної оплати праці одного дослідника, рівномірно розподіленої між </w:t>
      </w:r>
      <w:r w:rsidR="005F1A4F">
        <w:rPr>
          <w:rFonts w:eastAsia="MS Mincho"/>
          <w:b w:val="0"/>
          <w:sz w:val="24"/>
          <w:szCs w:val="24"/>
          <w:lang w:val="uk-UA" w:eastAsia="ja-JP"/>
        </w:rPr>
        <w:t>сьома</w:t>
      </w:r>
      <w:r w:rsidRPr="00956EBA">
        <w:rPr>
          <w:rFonts w:eastAsia="MS Mincho"/>
          <w:b w:val="0"/>
          <w:sz w:val="24"/>
          <w:szCs w:val="24"/>
          <w:lang w:val="uk-UA" w:eastAsia="ja-JP"/>
        </w:rPr>
        <w:t xml:space="preserve"> звітними періодами реалізації проєкту (Періоди 1-</w:t>
      </w:r>
      <w:r w:rsidR="005F1A4F">
        <w:rPr>
          <w:rFonts w:eastAsia="MS Mincho"/>
          <w:b w:val="0"/>
          <w:sz w:val="24"/>
          <w:szCs w:val="24"/>
          <w:lang w:val="uk-UA" w:eastAsia="ja-JP"/>
        </w:rPr>
        <w:t>7</w:t>
      </w:r>
      <w:r w:rsidRPr="00956EBA">
        <w:rPr>
          <w:rFonts w:eastAsia="MS Mincho"/>
          <w:b w:val="0"/>
          <w:sz w:val="24"/>
          <w:szCs w:val="24"/>
          <w:lang w:val="uk-UA" w:eastAsia="ja-JP"/>
        </w:rPr>
        <w:t>).</w:t>
      </w:r>
    </w:p>
    <w:p w14:paraId="4F3AD2FD" w14:textId="4A05AE5C" w:rsidR="00956EBA" w:rsidRPr="00956EBA" w:rsidRDefault="00956EBA" w:rsidP="00956EBA">
      <w:pPr>
        <w:pStyle w:val="a6"/>
        <w:tabs>
          <w:tab w:val="left" w:pos="284"/>
          <w:tab w:val="left" w:pos="1418"/>
          <w:tab w:val="left" w:pos="10065"/>
        </w:tabs>
        <w:spacing w:before="120" w:after="120"/>
        <w:ind w:right="-312"/>
        <w:rPr>
          <w:rFonts w:eastAsia="MS Mincho"/>
          <w:b w:val="0"/>
          <w:sz w:val="24"/>
          <w:szCs w:val="24"/>
          <w:lang w:val="uk-UA" w:eastAsia="ja-JP"/>
        </w:rPr>
      </w:pPr>
      <w:r w:rsidRPr="00956EBA">
        <w:rPr>
          <w:rFonts w:eastAsia="MS Mincho"/>
          <w:b w:val="0"/>
          <w:sz w:val="24"/>
          <w:szCs w:val="24"/>
          <w:lang w:val="uk-UA" w:eastAsia="ja-JP"/>
        </w:rPr>
        <w:t xml:space="preserve">Загальна вартість послуг становить 21 000,00 євро, що відповідає оплаті в розмірі </w:t>
      </w:r>
      <w:r w:rsidR="00AF5ED0">
        <w:rPr>
          <w:rFonts w:eastAsia="MS Mincho"/>
          <w:b w:val="0"/>
          <w:sz w:val="24"/>
          <w:szCs w:val="24"/>
          <w:lang w:val="uk-UA" w:eastAsia="ja-JP"/>
        </w:rPr>
        <w:t>3</w:t>
      </w:r>
      <w:r w:rsidRPr="00956EBA">
        <w:rPr>
          <w:rFonts w:eastAsia="MS Mincho"/>
          <w:b w:val="0"/>
          <w:sz w:val="24"/>
          <w:szCs w:val="24"/>
          <w:lang w:val="uk-UA" w:eastAsia="ja-JP"/>
        </w:rPr>
        <w:t xml:space="preserve"> </w:t>
      </w:r>
      <w:r w:rsidR="00AF5ED0">
        <w:rPr>
          <w:rFonts w:eastAsia="MS Mincho"/>
          <w:b w:val="0"/>
          <w:sz w:val="24"/>
          <w:szCs w:val="24"/>
          <w:lang w:val="uk-UA" w:eastAsia="ja-JP"/>
        </w:rPr>
        <w:t>0</w:t>
      </w:r>
      <w:r w:rsidRPr="00956EBA">
        <w:rPr>
          <w:rFonts w:eastAsia="MS Mincho"/>
          <w:b w:val="0"/>
          <w:sz w:val="24"/>
          <w:szCs w:val="24"/>
          <w:lang w:val="uk-UA" w:eastAsia="ja-JP"/>
        </w:rPr>
        <w:t xml:space="preserve">00,00 євро за кожен звітний період (120 годин × </w:t>
      </w:r>
      <w:r w:rsidR="00AF5ED0">
        <w:rPr>
          <w:rFonts w:eastAsia="MS Mincho"/>
          <w:b w:val="0"/>
          <w:sz w:val="24"/>
          <w:szCs w:val="24"/>
          <w:lang w:val="uk-UA" w:eastAsia="ja-JP"/>
        </w:rPr>
        <w:t>7</w:t>
      </w:r>
      <w:r w:rsidRPr="00956EBA">
        <w:rPr>
          <w:rFonts w:eastAsia="MS Mincho"/>
          <w:b w:val="0"/>
          <w:sz w:val="24"/>
          <w:szCs w:val="24"/>
          <w:lang w:val="uk-UA" w:eastAsia="ja-JP"/>
        </w:rPr>
        <w:t xml:space="preserve"> періодів). Погодинна ставка дослідника визначається учасником тендеру самостійно та має бути обґрунтованою, ринково відповідною та економічно доцільною відповідно до вимог програми Interreg.</w:t>
      </w:r>
      <w:r w:rsidR="000521B8">
        <w:rPr>
          <w:rFonts w:eastAsia="MS Mincho"/>
          <w:b w:val="0"/>
          <w:sz w:val="24"/>
          <w:szCs w:val="24"/>
          <w:lang w:val="uk-UA" w:eastAsia="ja-JP"/>
        </w:rPr>
        <w:t xml:space="preserve"> </w:t>
      </w:r>
    </w:p>
    <w:p w14:paraId="56BF652B" w14:textId="251F05DB" w:rsidR="00956EBA" w:rsidRPr="00956EBA" w:rsidRDefault="00956EBA" w:rsidP="00956EBA">
      <w:pPr>
        <w:pStyle w:val="a6"/>
        <w:tabs>
          <w:tab w:val="left" w:pos="284"/>
          <w:tab w:val="left" w:pos="1418"/>
          <w:tab w:val="left" w:pos="10065"/>
        </w:tabs>
        <w:spacing w:before="120" w:after="120"/>
        <w:ind w:right="-312"/>
        <w:rPr>
          <w:rFonts w:eastAsia="MS Mincho"/>
          <w:b w:val="0"/>
          <w:sz w:val="24"/>
          <w:szCs w:val="24"/>
          <w:lang w:val="uk-UA" w:eastAsia="ja-JP"/>
        </w:rPr>
      </w:pPr>
      <w:r w:rsidRPr="00956EBA">
        <w:rPr>
          <w:rFonts w:eastAsia="MS Mincho"/>
          <w:b w:val="0"/>
          <w:sz w:val="24"/>
          <w:szCs w:val="24"/>
          <w:lang w:val="uk-UA" w:eastAsia="ja-JP"/>
        </w:rPr>
        <w:lastRenderedPageBreak/>
        <w:t>Оплата здійснюється поетапно за підсумками кожного звітного періоду на підставі підписаного акт</w:t>
      </w:r>
      <w:r>
        <w:rPr>
          <w:rFonts w:eastAsia="MS Mincho"/>
          <w:b w:val="0"/>
          <w:sz w:val="24"/>
          <w:szCs w:val="24"/>
          <w:lang w:val="uk-UA" w:eastAsia="ja-JP"/>
        </w:rPr>
        <w:t>у</w:t>
      </w:r>
      <w:r w:rsidRPr="00956EBA">
        <w:rPr>
          <w:rFonts w:eastAsia="MS Mincho"/>
          <w:b w:val="0"/>
          <w:sz w:val="24"/>
          <w:szCs w:val="24"/>
          <w:lang w:val="uk-UA" w:eastAsia="ja-JP"/>
        </w:rPr>
        <w:t xml:space="preserve"> приймання-передачі наданих послуг, проміжного звіту та табеля обліку робочого часу, що підтверджують фактичний обсяг виконаних робіт.</w:t>
      </w:r>
    </w:p>
    <w:p w14:paraId="16CBC1FE" w14:textId="77777777" w:rsidR="00956EBA" w:rsidRPr="00956EBA" w:rsidRDefault="00956EBA" w:rsidP="00956EBA">
      <w:pPr>
        <w:pStyle w:val="a6"/>
        <w:tabs>
          <w:tab w:val="left" w:pos="284"/>
          <w:tab w:val="left" w:pos="1418"/>
          <w:tab w:val="left" w:pos="10065"/>
        </w:tabs>
        <w:spacing w:before="120" w:after="120"/>
        <w:ind w:right="-312"/>
        <w:rPr>
          <w:rFonts w:eastAsia="MS Mincho"/>
          <w:b w:val="0"/>
          <w:sz w:val="24"/>
          <w:szCs w:val="24"/>
          <w:lang w:val="uk-UA" w:eastAsia="ja-JP"/>
        </w:rPr>
      </w:pPr>
      <w:r w:rsidRPr="00956EBA">
        <w:rPr>
          <w:rFonts w:eastAsia="MS Mincho"/>
          <w:b w:val="0"/>
          <w:sz w:val="24"/>
          <w:szCs w:val="24"/>
          <w:lang w:val="uk-UA" w:eastAsia="ja-JP"/>
        </w:rPr>
        <w:t>Фінансування послуг здійснюється в межах затвердженого бюджету проєкту відповідно до фінансових правил програми Interreg NEXT Black Sea Basin, включаючи вимоги щодо допустимості витрат, їх обґрунтованості, економічної ефективності та належного документального підтвердження.</w:t>
      </w:r>
    </w:p>
    <w:p w14:paraId="5BBB6C9D" w14:textId="77777777" w:rsidR="00956EBA" w:rsidRPr="00956EBA" w:rsidRDefault="00956EBA" w:rsidP="00956EBA">
      <w:pPr>
        <w:pStyle w:val="a6"/>
        <w:tabs>
          <w:tab w:val="left" w:pos="284"/>
          <w:tab w:val="left" w:pos="1418"/>
          <w:tab w:val="left" w:pos="10065"/>
        </w:tabs>
        <w:spacing w:before="120" w:after="120"/>
        <w:ind w:right="-312"/>
        <w:rPr>
          <w:rFonts w:eastAsia="MS Mincho"/>
          <w:b w:val="0"/>
          <w:sz w:val="24"/>
          <w:szCs w:val="24"/>
          <w:lang w:val="uk-UA" w:eastAsia="ja-JP"/>
        </w:rPr>
      </w:pPr>
      <w:r w:rsidRPr="00956EBA">
        <w:rPr>
          <w:rFonts w:eastAsia="MS Mincho"/>
          <w:b w:val="0"/>
          <w:sz w:val="24"/>
          <w:szCs w:val="24"/>
          <w:lang w:val="uk-UA" w:eastAsia="ja-JP"/>
        </w:rPr>
        <w:t>Тендерні пропозиції подаються учасниками в національній валюті України — гривні. Водночас на дату підписання договору загальна вартість договору фіксується в євро шляхом перерахунку за курсом InforEuro, чинним на цю дату, відповідно до офіційних даних Європейської Комісії. Оплата за договором здійснюється у гривні, а сума кожного платежу визначається як гривневий еквівалент суми, зафіксованої в євро, розрахований за курсом InforEuro, чинним на дату виставлення рахунку.</w:t>
      </w:r>
    </w:p>
    <w:p w14:paraId="56DAD8AD" w14:textId="478A88C9" w:rsidR="00A56214" w:rsidRPr="00956EBA" w:rsidRDefault="00956EBA" w:rsidP="00956EBA">
      <w:pPr>
        <w:pStyle w:val="a6"/>
        <w:tabs>
          <w:tab w:val="clear" w:pos="567"/>
          <w:tab w:val="left" w:pos="284"/>
          <w:tab w:val="left" w:pos="1418"/>
          <w:tab w:val="left" w:pos="10065"/>
        </w:tabs>
        <w:spacing w:before="120" w:after="120" w:line="240" w:lineRule="auto"/>
        <w:ind w:right="-312"/>
        <w:rPr>
          <w:rFonts w:asciiTheme="majorBidi" w:hAnsiTheme="majorBidi" w:cstheme="majorBidi"/>
          <w:b w:val="0"/>
          <w:sz w:val="24"/>
          <w:szCs w:val="24"/>
          <w:lang w:val="uk-UA"/>
        </w:rPr>
      </w:pPr>
      <w:r w:rsidRPr="00956EBA">
        <w:rPr>
          <w:rFonts w:eastAsia="MS Mincho"/>
          <w:b w:val="0"/>
          <w:sz w:val="24"/>
          <w:szCs w:val="24"/>
          <w:lang w:val="uk-UA" w:eastAsia="ja-JP"/>
        </w:rPr>
        <w:t>Виконавець зобов’язується забезпечити прозорість формування вартості послуг із деталізацією за звітними періодами, а також відповідність запропонованих цін ринковому рівню та принципам ефективного використання коштів. Усі витрати повинні бути підтверджені належними фінансовими документами та відповідати вимогам до звітності, фінансового контролю та аудиту, встановленим програмою та Замовником.</w:t>
      </w:r>
    </w:p>
    <w:sectPr w:rsidR="00A56214" w:rsidRPr="00956EBA" w:rsidSect="00D50147">
      <w:footerReference w:type="default" r:id="rId9"/>
      <w:footerReference w:type="first" r:id="rId10"/>
      <w:pgSz w:w="11907" w:h="16840" w:code="9"/>
      <w:pgMar w:top="1134" w:right="851" w:bottom="1134" w:left="1077"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9B29" w14:textId="77777777" w:rsidR="007867A8" w:rsidRDefault="007867A8">
      <w:r>
        <w:separator/>
      </w:r>
    </w:p>
  </w:endnote>
  <w:endnote w:type="continuationSeparator" w:id="0">
    <w:p w14:paraId="60E62AA4" w14:textId="77777777" w:rsidR="007867A8" w:rsidRDefault="0078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CG Times (E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B8A6" w14:textId="15F226B8" w:rsidR="001A5D9C" w:rsidRPr="00C170A3" w:rsidRDefault="001A5D9C">
    <w:pPr>
      <w:pStyle w:val="a4"/>
      <w:framePr w:wrap="around" w:vAnchor="text" w:hAnchor="margin" w:xAlign="right" w:y="1"/>
      <w:rPr>
        <w:rStyle w:val="a5"/>
        <w:rFonts w:ascii="Times New Roman" w:hAnsi="Times New Roman"/>
        <w:sz w:val="20"/>
      </w:rPr>
    </w:pPr>
    <w:r w:rsidRPr="00C170A3">
      <w:rPr>
        <w:rStyle w:val="a5"/>
        <w:rFonts w:ascii="Times New Roman" w:hAnsi="Times New Roman"/>
        <w:sz w:val="20"/>
      </w:rPr>
      <w:fldChar w:fldCharType="begin"/>
    </w:r>
    <w:r w:rsidRPr="00C170A3">
      <w:rPr>
        <w:rStyle w:val="a5"/>
        <w:rFonts w:ascii="Times New Roman" w:hAnsi="Times New Roman"/>
        <w:sz w:val="20"/>
      </w:rPr>
      <w:instrText xml:space="preserve">PAGE  </w:instrText>
    </w:r>
    <w:r w:rsidRPr="00C170A3">
      <w:rPr>
        <w:rStyle w:val="a5"/>
        <w:rFonts w:ascii="Times New Roman" w:hAnsi="Times New Roman"/>
        <w:sz w:val="20"/>
      </w:rPr>
      <w:fldChar w:fldCharType="separate"/>
    </w:r>
    <w:r w:rsidR="00DB4482">
      <w:rPr>
        <w:rStyle w:val="a5"/>
        <w:rFonts w:ascii="Times New Roman" w:hAnsi="Times New Roman"/>
        <w:sz w:val="20"/>
      </w:rPr>
      <w:t>2</w:t>
    </w:r>
    <w:r w:rsidRPr="00C170A3">
      <w:rPr>
        <w:rStyle w:val="a5"/>
        <w:rFonts w:ascii="Times New Roman" w:hAnsi="Times New Roman"/>
        <w:sz w:val="20"/>
      </w:rPr>
      <w:fldChar w:fldCharType="end"/>
    </w:r>
  </w:p>
  <w:p w14:paraId="5C5DA7B9" w14:textId="77777777" w:rsidR="001A5D9C" w:rsidRPr="004A72AB" w:rsidRDefault="001A5D9C" w:rsidP="0072771F">
    <w:pPr>
      <w:pStyle w:val="a4"/>
      <w:ind w:right="360"/>
      <w:rPr>
        <w:noProof w:val="0"/>
        <w:color w:val="FFFFFF"/>
        <w:sz w:val="20"/>
      </w:rPr>
    </w:pPr>
    <w:r w:rsidRPr="004A72AB">
      <w:rPr>
        <w:noProof w:val="0"/>
        <w:color w:val="FFFFFF"/>
        <w:sz w:val="20"/>
      </w:rPr>
      <w:tab/>
      <w:t>\i1\</w:t>
    </w:r>
    <w:r w:rsidRPr="004A72AB">
      <w:rPr>
        <w:noProof w:val="0"/>
        <w:color w:val="FFFFFF"/>
        <w:sz w:val="20"/>
      </w:rPr>
      <w:tab/>
      <w:t>\i3\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9D4E" w14:textId="77777777" w:rsidR="001A5D9C" w:rsidRPr="00F76E10" w:rsidRDefault="001A5D9C">
    <w:pPr>
      <w:pStyle w:val="a4"/>
      <w:rPr>
        <w:color w:val="FFFFFF"/>
      </w:rPr>
    </w:pPr>
    <w:r>
      <w:tab/>
    </w:r>
    <w:r w:rsidRPr="00F76E10">
      <w:rPr>
        <w:color w:val="FFFFFF"/>
      </w:rPr>
      <w:t>\i1\</w:t>
    </w:r>
    <w:r w:rsidRPr="00F76E10">
      <w:rPr>
        <w:color w:val="FFFFFF"/>
      </w:rPr>
      <w:tab/>
      <w:t>\i3\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FA52" w14:textId="77777777" w:rsidR="007867A8" w:rsidRDefault="007867A8">
      <w:r>
        <w:separator/>
      </w:r>
    </w:p>
  </w:footnote>
  <w:footnote w:type="continuationSeparator" w:id="0">
    <w:p w14:paraId="52322D44" w14:textId="77777777" w:rsidR="007867A8" w:rsidRDefault="00786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751EC"/>
    <w:multiLevelType w:val="multilevel"/>
    <w:tmpl w:val="2D8C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4488B"/>
    <w:multiLevelType w:val="multilevel"/>
    <w:tmpl w:val="0C6ABDB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F0942"/>
    <w:multiLevelType w:val="multilevel"/>
    <w:tmpl w:val="49DE1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7116A9"/>
    <w:multiLevelType w:val="multilevel"/>
    <w:tmpl w:val="E278D82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0375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625695">
    <w:abstractNumId w:val="0"/>
  </w:num>
  <w:num w:numId="3" w16cid:durableId="849372456">
    <w:abstractNumId w:val="1"/>
  </w:num>
  <w:num w:numId="4" w16cid:durableId="142333434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3B"/>
    <w:rsid w:val="00006930"/>
    <w:rsid w:val="00010207"/>
    <w:rsid w:val="0001091F"/>
    <w:rsid w:val="000112C0"/>
    <w:rsid w:val="00013140"/>
    <w:rsid w:val="00013A21"/>
    <w:rsid w:val="000150CF"/>
    <w:rsid w:val="00015997"/>
    <w:rsid w:val="0002390D"/>
    <w:rsid w:val="00023C8E"/>
    <w:rsid w:val="00024472"/>
    <w:rsid w:val="000279B1"/>
    <w:rsid w:val="000323D9"/>
    <w:rsid w:val="00032F9B"/>
    <w:rsid w:val="00033B70"/>
    <w:rsid w:val="00035B20"/>
    <w:rsid w:val="00045C8C"/>
    <w:rsid w:val="0004764E"/>
    <w:rsid w:val="0005197E"/>
    <w:rsid w:val="000521B8"/>
    <w:rsid w:val="00057040"/>
    <w:rsid w:val="00063E62"/>
    <w:rsid w:val="00070342"/>
    <w:rsid w:val="000748AC"/>
    <w:rsid w:val="000748F0"/>
    <w:rsid w:val="00084F80"/>
    <w:rsid w:val="000851FD"/>
    <w:rsid w:val="00085CDF"/>
    <w:rsid w:val="00087AE0"/>
    <w:rsid w:val="000904A6"/>
    <w:rsid w:val="00091189"/>
    <w:rsid w:val="00092BBF"/>
    <w:rsid w:val="0009626C"/>
    <w:rsid w:val="000A10FB"/>
    <w:rsid w:val="000A19D4"/>
    <w:rsid w:val="000A24A6"/>
    <w:rsid w:val="000A2C6F"/>
    <w:rsid w:val="000A6075"/>
    <w:rsid w:val="000B1551"/>
    <w:rsid w:val="000B2A6A"/>
    <w:rsid w:val="000B32A6"/>
    <w:rsid w:val="000B5EC4"/>
    <w:rsid w:val="000C09B4"/>
    <w:rsid w:val="000C2A0F"/>
    <w:rsid w:val="000C4E72"/>
    <w:rsid w:val="000D2AF4"/>
    <w:rsid w:val="000D2BAE"/>
    <w:rsid w:val="000D3C5D"/>
    <w:rsid w:val="000D44E1"/>
    <w:rsid w:val="000D73F4"/>
    <w:rsid w:val="000E020A"/>
    <w:rsid w:val="000E1A37"/>
    <w:rsid w:val="000E39E8"/>
    <w:rsid w:val="000F4AA7"/>
    <w:rsid w:val="000F5FE0"/>
    <w:rsid w:val="000F6459"/>
    <w:rsid w:val="00100952"/>
    <w:rsid w:val="0010168B"/>
    <w:rsid w:val="00113A7E"/>
    <w:rsid w:val="00116FA9"/>
    <w:rsid w:val="00122373"/>
    <w:rsid w:val="00123090"/>
    <w:rsid w:val="00125557"/>
    <w:rsid w:val="00126880"/>
    <w:rsid w:val="00133026"/>
    <w:rsid w:val="00134A94"/>
    <w:rsid w:val="00140E46"/>
    <w:rsid w:val="001422E7"/>
    <w:rsid w:val="001426C4"/>
    <w:rsid w:val="00144407"/>
    <w:rsid w:val="0014683C"/>
    <w:rsid w:val="00146A3B"/>
    <w:rsid w:val="00147114"/>
    <w:rsid w:val="00152558"/>
    <w:rsid w:val="001546F5"/>
    <w:rsid w:val="001557CC"/>
    <w:rsid w:val="001563E0"/>
    <w:rsid w:val="00170503"/>
    <w:rsid w:val="00177EC3"/>
    <w:rsid w:val="00182EAB"/>
    <w:rsid w:val="0018311C"/>
    <w:rsid w:val="00195AE8"/>
    <w:rsid w:val="001A1FC0"/>
    <w:rsid w:val="001A2744"/>
    <w:rsid w:val="001A5D9C"/>
    <w:rsid w:val="001A6C2D"/>
    <w:rsid w:val="001B499E"/>
    <w:rsid w:val="001B58FD"/>
    <w:rsid w:val="001C30E4"/>
    <w:rsid w:val="001C38C3"/>
    <w:rsid w:val="001C5AC3"/>
    <w:rsid w:val="001C6DE9"/>
    <w:rsid w:val="001C711A"/>
    <w:rsid w:val="001D2956"/>
    <w:rsid w:val="001E101A"/>
    <w:rsid w:val="001E4AAA"/>
    <w:rsid w:val="001E4B24"/>
    <w:rsid w:val="001F0CBC"/>
    <w:rsid w:val="001F11CB"/>
    <w:rsid w:val="001F1734"/>
    <w:rsid w:val="001F6A5F"/>
    <w:rsid w:val="002036D3"/>
    <w:rsid w:val="0020744F"/>
    <w:rsid w:val="00210739"/>
    <w:rsid w:val="00210E2D"/>
    <w:rsid w:val="00215B92"/>
    <w:rsid w:val="00216191"/>
    <w:rsid w:val="00222EF8"/>
    <w:rsid w:val="00223C1E"/>
    <w:rsid w:val="0022625A"/>
    <w:rsid w:val="00231A73"/>
    <w:rsid w:val="0023377D"/>
    <w:rsid w:val="00243924"/>
    <w:rsid w:val="00244E62"/>
    <w:rsid w:val="0025095F"/>
    <w:rsid w:val="0025176A"/>
    <w:rsid w:val="00254955"/>
    <w:rsid w:val="00254C1B"/>
    <w:rsid w:val="002571D3"/>
    <w:rsid w:val="00257DCE"/>
    <w:rsid w:val="00263841"/>
    <w:rsid w:val="00265BE5"/>
    <w:rsid w:val="0027098C"/>
    <w:rsid w:val="00272B53"/>
    <w:rsid w:val="0028039F"/>
    <w:rsid w:val="00281FCB"/>
    <w:rsid w:val="00284578"/>
    <w:rsid w:val="00286995"/>
    <w:rsid w:val="00287201"/>
    <w:rsid w:val="00291A43"/>
    <w:rsid w:val="002A32B7"/>
    <w:rsid w:val="002A4B1B"/>
    <w:rsid w:val="002A5391"/>
    <w:rsid w:val="002B03E2"/>
    <w:rsid w:val="002B161D"/>
    <w:rsid w:val="002B394A"/>
    <w:rsid w:val="002B6DEE"/>
    <w:rsid w:val="002B7798"/>
    <w:rsid w:val="002C1B1D"/>
    <w:rsid w:val="002C67F8"/>
    <w:rsid w:val="002C7671"/>
    <w:rsid w:val="002D7F64"/>
    <w:rsid w:val="002F165F"/>
    <w:rsid w:val="002F5CDD"/>
    <w:rsid w:val="00304179"/>
    <w:rsid w:val="0031161F"/>
    <w:rsid w:val="003200BA"/>
    <w:rsid w:val="00320341"/>
    <w:rsid w:val="003213C7"/>
    <w:rsid w:val="0032224A"/>
    <w:rsid w:val="00323F0E"/>
    <w:rsid w:val="003241A0"/>
    <w:rsid w:val="003269C4"/>
    <w:rsid w:val="00327179"/>
    <w:rsid w:val="00336FE3"/>
    <w:rsid w:val="003425CA"/>
    <w:rsid w:val="00346730"/>
    <w:rsid w:val="00352E8C"/>
    <w:rsid w:val="003538AD"/>
    <w:rsid w:val="00356238"/>
    <w:rsid w:val="00357F69"/>
    <w:rsid w:val="0036341D"/>
    <w:rsid w:val="00365526"/>
    <w:rsid w:val="0036775A"/>
    <w:rsid w:val="00370563"/>
    <w:rsid w:val="00371E8C"/>
    <w:rsid w:val="0037704C"/>
    <w:rsid w:val="00384B7C"/>
    <w:rsid w:val="00387AE2"/>
    <w:rsid w:val="00390183"/>
    <w:rsid w:val="003925E9"/>
    <w:rsid w:val="003A23B8"/>
    <w:rsid w:val="003A56E1"/>
    <w:rsid w:val="003B0D25"/>
    <w:rsid w:val="003B13F0"/>
    <w:rsid w:val="003B1B86"/>
    <w:rsid w:val="003B5A58"/>
    <w:rsid w:val="003B5C04"/>
    <w:rsid w:val="003B6DB5"/>
    <w:rsid w:val="003B7102"/>
    <w:rsid w:val="003C1E47"/>
    <w:rsid w:val="003C273C"/>
    <w:rsid w:val="003E0A10"/>
    <w:rsid w:val="003E73DF"/>
    <w:rsid w:val="003E7F26"/>
    <w:rsid w:val="003F0154"/>
    <w:rsid w:val="003F1746"/>
    <w:rsid w:val="004047CE"/>
    <w:rsid w:val="00404EFB"/>
    <w:rsid w:val="004077A1"/>
    <w:rsid w:val="00411713"/>
    <w:rsid w:val="00415829"/>
    <w:rsid w:val="00415B2C"/>
    <w:rsid w:val="004258DC"/>
    <w:rsid w:val="00426786"/>
    <w:rsid w:val="00430B03"/>
    <w:rsid w:val="00431D0C"/>
    <w:rsid w:val="004351DD"/>
    <w:rsid w:val="0044171D"/>
    <w:rsid w:val="004434A3"/>
    <w:rsid w:val="00446EB0"/>
    <w:rsid w:val="00447001"/>
    <w:rsid w:val="00447626"/>
    <w:rsid w:val="00452227"/>
    <w:rsid w:val="00452952"/>
    <w:rsid w:val="004531F8"/>
    <w:rsid w:val="00455828"/>
    <w:rsid w:val="00456770"/>
    <w:rsid w:val="00460D14"/>
    <w:rsid w:val="00461C49"/>
    <w:rsid w:val="0046215A"/>
    <w:rsid w:val="0046551D"/>
    <w:rsid w:val="0046660B"/>
    <w:rsid w:val="00466821"/>
    <w:rsid w:val="00471D32"/>
    <w:rsid w:val="00475AC6"/>
    <w:rsid w:val="004802CE"/>
    <w:rsid w:val="00482604"/>
    <w:rsid w:val="00491FE0"/>
    <w:rsid w:val="00492C18"/>
    <w:rsid w:val="0049721D"/>
    <w:rsid w:val="004A2DBE"/>
    <w:rsid w:val="004A72AB"/>
    <w:rsid w:val="004B247D"/>
    <w:rsid w:val="004B3957"/>
    <w:rsid w:val="004C7E85"/>
    <w:rsid w:val="004D0FAE"/>
    <w:rsid w:val="004D328E"/>
    <w:rsid w:val="004D5437"/>
    <w:rsid w:val="004D5A84"/>
    <w:rsid w:val="004D60B6"/>
    <w:rsid w:val="004E116D"/>
    <w:rsid w:val="004E2453"/>
    <w:rsid w:val="004E5FE5"/>
    <w:rsid w:val="004E6466"/>
    <w:rsid w:val="004F20AE"/>
    <w:rsid w:val="004F2DE7"/>
    <w:rsid w:val="004F65BB"/>
    <w:rsid w:val="004F73A1"/>
    <w:rsid w:val="004F7C6A"/>
    <w:rsid w:val="00501758"/>
    <w:rsid w:val="00502638"/>
    <w:rsid w:val="005030A2"/>
    <w:rsid w:val="00504ED9"/>
    <w:rsid w:val="0050770C"/>
    <w:rsid w:val="00507F7D"/>
    <w:rsid w:val="00511CD3"/>
    <w:rsid w:val="0051232A"/>
    <w:rsid w:val="005132F7"/>
    <w:rsid w:val="0051592E"/>
    <w:rsid w:val="005168AF"/>
    <w:rsid w:val="00517544"/>
    <w:rsid w:val="00517872"/>
    <w:rsid w:val="00520EEE"/>
    <w:rsid w:val="00521172"/>
    <w:rsid w:val="00521D2D"/>
    <w:rsid w:val="005302ED"/>
    <w:rsid w:val="00540166"/>
    <w:rsid w:val="00546632"/>
    <w:rsid w:val="00552298"/>
    <w:rsid w:val="00553BE2"/>
    <w:rsid w:val="0055407B"/>
    <w:rsid w:val="005572FB"/>
    <w:rsid w:val="00567207"/>
    <w:rsid w:val="00570B06"/>
    <w:rsid w:val="005730B5"/>
    <w:rsid w:val="005779B5"/>
    <w:rsid w:val="00581CC9"/>
    <w:rsid w:val="00583554"/>
    <w:rsid w:val="00584582"/>
    <w:rsid w:val="00584C15"/>
    <w:rsid w:val="005908FF"/>
    <w:rsid w:val="0059120F"/>
    <w:rsid w:val="005922AC"/>
    <w:rsid w:val="005942E2"/>
    <w:rsid w:val="005954F1"/>
    <w:rsid w:val="00596352"/>
    <w:rsid w:val="005974A4"/>
    <w:rsid w:val="005A087A"/>
    <w:rsid w:val="005A1D77"/>
    <w:rsid w:val="005A3274"/>
    <w:rsid w:val="005A3FD0"/>
    <w:rsid w:val="005B1C44"/>
    <w:rsid w:val="005B3831"/>
    <w:rsid w:val="005B577E"/>
    <w:rsid w:val="005B7DF0"/>
    <w:rsid w:val="005C5F47"/>
    <w:rsid w:val="005C68DB"/>
    <w:rsid w:val="005D05FE"/>
    <w:rsid w:val="005D12B2"/>
    <w:rsid w:val="005E2E37"/>
    <w:rsid w:val="005E3CF8"/>
    <w:rsid w:val="005E3D00"/>
    <w:rsid w:val="005F09D2"/>
    <w:rsid w:val="005F1A4F"/>
    <w:rsid w:val="005F3E5B"/>
    <w:rsid w:val="005F58F0"/>
    <w:rsid w:val="005F665B"/>
    <w:rsid w:val="006003DA"/>
    <w:rsid w:val="006028DC"/>
    <w:rsid w:val="00604C01"/>
    <w:rsid w:val="00604C5D"/>
    <w:rsid w:val="006052B6"/>
    <w:rsid w:val="006065A7"/>
    <w:rsid w:val="00612216"/>
    <w:rsid w:val="00617565"/>
    <w:rsid w:val="00620FE1"/>
    <w:rsid w:val="00622093"/>
    <w:rsid w:val="00622841"/>
    <w:rsid w:val="00631984"/>
    <w:rsid w:val="00636A88"/>
    <w:rsid w:val="0064046A"/>
    <w:rsid w:val="0064266C"/>
    <w:rsid w:val="00646F41"/>
    <w:rsid w:val="006477A7"/>
    <w:rsid w:val="006510F1"/>
    <w:rsid w:val="00655A98"/>
    <w:rsid w:val="00657DBB"/>
    <w:rsid w:val="00664798"/>
    <w:rsid w:val="00665331"/>
    <w:rsid w:val="0067151A"/>
    <w:rsid w:val="006750CF"/>
    <w:rsid w:val="0067649A"/>
    <w:rsid w:val="006768EE"/>
    <w:rsid w:val="00682DE0"/>
    <w:rsid w:val="00684BC9"/>
    <w:rsid w:val="00693C1F"/>
    <w:rsid w:val="006A11E2"/>
    <w:rsid w:val="006A1C88"/>
    <w:rsid w:val="006A2502"/>
    <w:rsid w:val="006A374C"/>
    <w:rsid w:val="006A4FB5"/>
    <w:rsid w:val="006A5BC9"/>
    <w:rsid w:val="006A6CF2"/>
    <w:rsid w:val="006B0DBA"/>
    <w:rsid w:val="006B4DCB"/>
    <w:rsid w:val="006B5D51"/>
    <w:rsid w:val="006C0B43"/>
    <w:rsid w:val="006C143B"/>
    <w:rsid w:val="006C1E2E"/>
    <w:rsid w:val="006C44BE"/>
    <w:rsid w:val="006C52DC"/>
    <w:rsid w:val="006C5DE4"/>
    <w:rsid w:val="006D0B2D"/>
    <w:rsid w:val="006D49FE"/>
    <w:rsid w:val="006E0699"/>
    <w:rsid w:val="006E7AC4"/>
    <w:rsid w:val="006E7DFA"/>
    <w:rsid w:val="006F43BE"/>
    <w:rsid w:val="0070071B"/>
    <w:rsid w:val="0071074D"/>
    <w:rsid w:val="007108E1"/>
    <w:rsid w:val="0071551E"/>
    <w:rsid w:val="00722EDF"/>
    <w:rsid w:val="0072771F"/>
    <w:rsid w:val="00731C62"/>
    <w:rsid w:val="00731F17"/>
    <w:rsid w:val="00733DD0"/>
    <w:rsid w:val="00735A89"/>
    <w:rsid w:val="00736480"/>
    <w:rsid w:val="00741333"/>
    <w:rsid w:val="00741CF4"/>
    <w:rsid w:val="00743973"/>
    <w:rsid w:val="0074422B"/>
    <w:rsid w:val="0075080C"/>
    <w:rsid w:val="00753453"/>
    <w:rsid w:val="007606C9"/>
    <w:rsid w:val="007867A8"/>
    <w:rsid w:val="007937C5"/>
    <w:rsid w:val="00795BAF"/>
    <w:rsid w:val="00796306"/>
    <w:rsid w:val="00797F14"/>
    <w:rsid w:val="007A1F4D"/>
    <w:rsid w:val="007A3996"/>
    <w:rsid w:val="007A3D52"/>
    <w:rsid w:val="007A679F"/>
    <w:rsid w:val="007A6C7D"/>
    <w:rsid w:val="007B5703"/>
    <w:rsid w:val="007B6859"/>
    <w:rsid w:val="007C1155"/>
    <w:rsid w:val="007C3964"/>
    <w:rsid w:val="007C3EC3"/>
    <w:rsid w:val="007C4162"/>
    <w:rsid w:val="007D21C1"/>
    <w:rsid w:val="007D7C46"/>
    <w:rsid w:val="007E258D"/>
    <w:rsid w:val="007E39AA"/>
    <w:rsid w:val="007E3BDB"/>
    <w:rsid w:val="007E4BF1"/>
    <w:rsid w:val="007E6973"/>
    <w:rsid w:val="007E7B31"/>
    <w:rsid w:val="007F2E6A"/>
    <w:rsid w:val="00804897"/>
    <w:rsid w:val="00805132"/>
    <w:rsid w:val="00807CFC"/>
    <w:rsid w:val="008164AD"/>
    <w:rsid w:val="00816D3A"/>
    <w:rsid w:val="00822FB8"/>
    <w:rsid w:val="00832A87"/>
    <w:rsid w:val="0084305F"/>
    <w:rsid w:val="00845163"/>
    <w:rsid w:val="00850C57"/>
    <w:rsid w:val="00852B0A"/>
    <w:rsid w:val="008578A0"/>
    <w:rsid w:val="008600D8"/>
    <w:rsid w:val="00860819"/>
    <w:rsid w:val="008665F2"/>
    <w:rsid w:val="00867B54"/>
    <w:rsid w:val="008759B9"/>
    <w:rsid w:val="00882D44"/>
    <w:rsid w:val="00885482"/>
    <w:rsid w:val="00886E5D"/>
    <w:rsid w:val="00892565"/>
    <w:rsid w:val="00896BD6"/>
    <w:rsid w:val="008A49B5"/>
    <w:rsid w:val="008A4D58"/>
    <w:rsid w:val="008A75F5"/>
    <w:rsid w:val="008B1B5E"/>
    <w:rsid w:val="008B33A8"/>
    <w:rsid w:val="008B647A"/>
    <w:rsid w:val="008C09A8"/>
    <w:rsid w:val="008C1653"/>
    <w:rsid w:val="008C26FC"/>
    <w:rsid w:val="008C3D55"/>
    <w:rsid w:val="008C3E85"/>
    <w:rsid w:val="008D2D96"/>
    <w:rsid w:val="008D6EB7"/>
    <w:rsid w:val="008E0FD4"/>
    <w:rsid w:val="008E1937"/>
    <w:rsid w:val="008E3488"/>
    <w:rsid w:val="008E46FF"/>
    <w:rsid w:val="008E7A0A"/>
    <w:rsid w:val="008E7B06"/>
    <w:rsid w:val="009024A8"/>
    <w:rsid w:val="00903131"/>
    <w:rsid w:val="009066FA"/>
    <w:rsid w:val="00907492"/>
    <w:rsid w:val="009121FF"/>
    <w:rsid w:val="0091431C"/>
    <w:rsid w:val="0091715C"/>
    <w:rsid w:val="00920E85"/>
    <w:rsid w:val="00925C96"/>
    <w:rsid w:val="009311B8"/>
    <w:rsid w:val="00932011"/>
    <w:rsid w:val="00933394"/>
    <w:rsid w:val="00935D88"/>
    <w:rsid w:val="009364AE"/>
    <w:rsid w:val="00945BB9"/>
    <w:rsid w:val="00953E8C"/>
    <w:rsid w:val="00956EBA"/>
    <w:rsid w:val="00957F39"/>
    <w:rsid w:val="00960E33"/>
    <w:rsid w:val="00961EE2"/>
    <w:rsid w:val="00962418"/>
    <w:rsid w:val="009658FF"/>
    <w:rsid w:val="009664A9"/>
    <w:rsid w:val="0097095A"/>
    <w:rsid w:val="00973A86"/>
    <w:rsid w:val="009740B1"/>
    <w:rsid w:val="00980A57"/>
    <w:rsid w:val="00985007"/>
    <w:rsid w:val="00991486"/>
    <w:rsid w:val="00991861"/>
    <w:rsid w:val="00993270"/>
    <w:rsid w:val="009970DB"/>
    <w:rsid w:val="00997165"/>
    <w:rsid w:val="009A5808"/>
    <w:rsid w:val="009A64B3"/>
    <w:rsid w:val="009A6C33"/>
    <w:rsid w:val="009B089B"/>
    <w:rsid w:val="009B5AA1"/>
    <w:rsid w:val="009B772D"/>
    <w:rsid w:val="009B79CE"/>
    <w:rsid w:val="009D1215"/>
    <w:rsid w:val="009D34FA"/>
    <w:rsid w:val="009D495F"/>
    <w:rsid w:val="009E1CD0"/>
    <w:rsid w:val="009E66F1"/>
    <w:rsid w:val="009F17DE"/>
    <w:rsid w:val="009F3B67"/>
    <w:rsid w:val="00A000E5"/>
    <w:rsid w:val="00A02157"/>
    <w:rsid w:val="00A027C5"/>
    <w:rsid w:val="00A0444A"/>
    <w:rsid w:val="00A1665E"/>
    <w:rsid w:val="00A20524"/>
    <w:rsid w:val="00A22902"/>
    <w:rsid w:val="00A2434E"/>
    <w:rsid w:val="00A263CC"/>
    <w:rsid w:val="00A33519"/>
    <w:rsid w:val="00A34BB6"/>
    <w:rsid w:val="00A41B1E"/>
    <w:rsid w:val="00A43106"/>
    <w:rsid w:val="00A44623"/>
    <w:rsid w:val="00A4675F"/>
    <w:rsid w:val="00A524A6"/>
    <w:rsid w:val="00A54660"/>
    <w:rsid w:val="00A56214"/>
    <w:rsid w:val="00A60669"/>
    <w:rsid w:val="00A60B20"/>
    <w:rsid w:val="00A62B2D"/>
    <w:rsid w:val="00A6360E"/>
    <w:rsid w:val="00A70274"/>
    <w:rsid w:val="00A70C71"/>
    <w:rsid w:val="00A73034"/>
    <w:rsid w:val="00A77227"/>
    <w:rsid w:val="00A82D0C"/>
    <w:rsid w:val="00A87C9F"/>
    <w:rsid w:val="00A95DE9"/>
    <w:rsid w:val="00A97A7E"/>
    <w:rsid w:val="00AA12CB"/>
    <w:rsid w:val="00AA3C3D"/>
    <w:rsid w:val="00AA3ECF"/>
    <w:rsid w:val="00AA4188"/>
    <w:rsid w:val="00AA4344"/>
    <w:rsid w:val="00AA49DE"/>
    <w:rsid w:val="00AA5F13"/>
    <w:rsid w:val="00AA7607"/>
    <w:rsid w:val="00AA7D0B"/>
    <w:rsid w:val="00AB4A86"/>
    <w:rsid w:val="00AB787A"/>
    <w:rsid w:val="00AC028B"/>
    <w:rsid w:val="00AC32BA"/>
    <w:rsid w:val="00AC776E"/>
    <w:rsid w:val="00AD13F4"/>
    <w:rsid w:val="00AD4D80"/>
    <w:rsid w:val="00AE1766"/>
    <w:rsid w:val="00AE1813"/>
    <w:rsid w:val="00AE285F"/>
    <w:rsid w:val="00AE530E"/>
    <w:rsid w:val="00AE7827"/>
    <w:rsid w:val="00AF1271"/>
    <w:rsid w:val="00AF13D5"/>
    <w:rsid w:val="00AF4248"/>
    <w:rsid w:val="00AF5ED0"/>
    <w:rsid w:val="00AF7575"/>
    <w:rsid w:val="00B0192C"/>
    <w:rsid w:val="00B01A18"/>
    <w:rsid w:val="00B11ED3"/>
    <w:rsid w:val="00B22769"/>
    <w:rsid w:val="00B26F3A"/>
    <w:rsid w:val="00B27D2D"/>
    <w:rsid w:val="00B31E5A"/>
    <w:rsid w:val="00B32BC0"/>
    <w:rsid w:val="00B330DC"/>
    <w:rsid w:val="00B344E4"/>
    <w:rsid w:val="00B35BA5"/>
    <w:rsid w:val="00B376ED"/>
    <w:rsid w:val="00B405C5"/>
    <w:rsid w:val="00B421A4"/>
    <w:rsid w:val="00B47A5F"/>
    <w:rsid w:val="00B523A3"/>
    <w:rsid w:val="00B53D21"/>
    <w:rsid w:val="00B54072"/>
    <w:rsid w:val="00B54FC3"/>
    <w:rsid w:val="00B56EE5"/>
    <w:rsid w:val="00B6305A"/>
    <w:rsid w:val="00B630AC"/>
    <w:rsid w:val="00B7076A"/>
    <w:rsid w:val="00B7590F"/>
    <w:rsid w:val="00B83AC7"/>
    <w:rsid w:val="00B859AD"/>
    <w:rsid w:val="00B908A0"/>
    <w:rsid w:val="00B91B44"/>
    <w:rsid w:val="00B9368C"/>
    <w:rsid w:val="00B94B16"/>
    <w:rsid w:val="00BA29A3"/>
    <w:rsid w:val="00BA34F2"/>
    <w:rsid w:val="00BA5BBF"/>
    <w:rsid w:val="00BA73F1"/>
    <w:rsid w:val="00BA778E"/>
    <w:rsid w:val="00BA779D"/>
    <w:rsid w:val="00BB2A86"/>
    <w:rsid w:val="00BB6588"/>
    <w:rsid w:val="00BC0658"/>
    <w:rsid w:val="00BC34D2"/>
    <w:rsid w:val="00BC7BA8"/>
    <w:rsid w:val="00BD0A34"/>
    <w:rsid w:val="00BD18AE"/>
    <w:rsid w:val="00BD29CA"/>
    <w:rsid w:val="00BD6258"/>
    <w:rsid w:val="00BE37DB"/>
    <w:rsid w:val="00BE69BC"/>
    <w:rsid w:val="00BF44DE"/>
    <w:rsid w:val="00BF6012"/>
    <w:rsid w:val="00C0153B"/>
    <w:rsid w:val="00C04BAA"/>
    <w:rsid w:val="00C05736"/>
    <w:rsid w:val="00C05ACC"/>
    <w:rsid w:val="00C12BC6"/>
    <w:rsid w:val="00C144AB"/>
    <w:rsid w:val="00C163A8"/>
    <w:rsid w:val="00C170A3"/>
    <w:rsid w:val="00C23852"/>
    <w:rsid w:val="00C26F53"/>
    <w:rsid w:val="00C26FF2"/>
    <w:rsid w:val="00C330D7"/>
    <w:rsid w:val="00C36CFA"/>
    <w:rsid w:val="00C41EA0"/>
    <w:rsid w:val="00C43896"/>
    <w:rsid w:val="00C44FAF"/>
    <w:rsid w:val="00C45806"/>
    <w:rsid w:val="00C52A07"/>
    <w:rsid w:val="00C605D5"/>
    <w:rsid w:val="00C606B4"/>
    <w:rsid w:val="00C61827"/>
    <w:rsid w:val="00C62B78"/>
    <w:rsid w:val="00C63E65"/>
    <w:rsid w:val="00C673F4"/>
    <w:rsid w:val="00C6757B"/>
    <w:rsid w:val="00C7421E"/>
    <w:rsid w:val="00C7450D"/>
    <w:rsid w:val="00C76BAB"/>
    <w:rsid w:val="00C77FA9"/>
    <w:rsid w:val="00C84702"/>
    <w:rsid w:val="00C85E3F"/>
    <w:rsid w:val="00C86F2E"/>
    <w:rsid w:val="00C9186D"/>
    <w:rsid w:val="00C94E2C"/>
    <w:rsid w:val="00C957EF"/>
    <w:rsid w:val="00CA06CD"/>
    <w:rsid w:val="00CA4391"/>
    <w:rsid w:val="00CA57F7"/>
    <w:rsid w:val="00CA62FD"/>
    <w:rsid w:val="00CB025F"/>
    <w:rsid w:val="00CB37F2"/>
    <w:rsid w:val="00CB44EB"/>
    <w:rsid w:val="00CB5C33"/>
    <w:rsid w:val="00CC07C8"/>
    <w:rsid w:val="00CC1127"/>
    <w:rsid w:val="00CC3A39"/>
    <w:rsid w:val="00CC737E"/>
    <w:rsid w:val="00CD2365"/>
    <w:rsid w:val="00CD7D20"/>
    <w:rsid w:val="00CE05F5"/>
    <w:rsid w:val="00CE4A69"/>
    <w:rsid w:val="00CF0226"/>
    <w:rsid w:val="00CF3672"/>
    <w:rsid w:val="00D00C39"/>
    <w:rsid w:val="00D01E20"/>
    <w:rsid w:val="00D03F12"/>
    <w:rsid w:val="00D056A0"/>
    <w:rsid w:val="00D07B48"/>
    <w:rsid w:val="00D07DB1"/>
    <w:rsid w:val="00D15B4F"/>
    <w:rsid w:val="00D16BFD"/>
    <w:rsid w:val="00D20274"/>
    <w:rsid w:val="00D220A3"/>
    <w:rsid w:val="00D24A3A"/>
    <w:rsid w:val="00D304CF"/>
    <w:rsid w:val="00D31E6E"/>
    <w:rsid w:val="00D35B17"/>
    <w:rsid w:val="00D36FFF"/>
    <w:rsid w:val="00D4129D"/>
    <w:rsid w:val="00D45853"/>
    <w:rsid w:val="00D469E7"/>
    <w:rsid w:val="00D471FB"/>
    <w:rsid w:val="00D47FC1"/>
    <w:rsid w:val="00D50147"/>
    <w:rsid w:val="00D50B5B"/>
    <w:rsid w:val="00D5198F"/>
    <w:rsid w:val="00D53552"/>
    <w:rsid w:val="00D55462"/>
    <w:rsid w:val="00D57997"/>
    <w:rsid w:val="00D57A0F"/>
    <w:rsid w:val="00D6093B"/>
    <w:rsid w:val="00D62BE0"/>
    <w:rsid w:val="00D672F9"/>
    <w:rsid w:val="00D74B52"/>
    <w:rsid w:val="00D77448"/>
    <w:rsid w:val="00D8295A"/>
    <w:rsid w:val="00D829C4"/>
    <w:rsid w:val="00D937AD"/>
    <w:rsid w:val="00D94B93"/>
    <w:rsid w:val="00DA6FF9"/>
    <w:rsid w:val="00DB4482"/>
    <w:rsid w:val="00DB6DD9"/>
    <w:rsid w:val="00DB7A2D"/>
    <w:rsid w:val="00DC4CD5"/>
    <w:rsid w:val="00DD0DF7"/>
    <w:rsid w:val="00DD3791"/>
    <w:rsid w:val="00DD4716"/>
    <w:rsid w:val="00DD6EDB"/>
    <w:rsid w:val="00DD7000"/>
    <w:rsid w:val="00DE18ED"/>
    <w:rsid w:val="00DE3859"/>
    <w:rsid w:val="00DE3C31"/>
    <w:rsid w:val="00DE55EE"/>
    <w:rsid w:val="00DF02D8"/>
    <w:rsid w:val="00DF08C0"/>
    <w:rsid w:val="00DF275A"/>
    <w:rsid w:val="00DF340E"/>
    <w:rsid w:val="00DF609C"/>
    <w:rsid w:val="00DF751B"/>
    <w:rsid w:val="00DF7C09"/>
    <w:rsid w:val="00E0391B"/>
    <w:rsid w:val="00E04CF8"/>
    <w:rsid w:val="00E10247"/>
    <w:rsid w:val="00E13660"/>
    <w:rsid w:val="00E16377"/>
    <w:rsid w:val="00E168D3"/>
    <w:rsid w:val="00E20A89"/>
    <w:rsid w:val="00E211C9"/>
    <w:rsid w:val="00E22DFB"/>
    <w:rsid w:val="00E25E84"/>
    <w:rsid w:val="00E334CA"/>
    <w:rsid w:val="00E37E16"/>
    <w:rsid w:val="00E40343"/>
    <w:rsid w:val="00E40AE3"/>
    <w:rsid w:val="00E45718"/>
    <w:rsid w:val="00E47D21"/>
    <w:rsid w:val="00E60459"/>
    <w:rsid w:val="00E6219B"/>
    <w:rsid w:val="00E62DA3"/>
    <w:rsid w:val="00E65831"/>
    <w:rsid w:val="00E70371"/>
    <w:rsid w:val="00E73349"/>
    <w:rsid w:val="00E8124A"/>
    <w:rsid w:val="00E85ADF"/>
    <w:rsid w:val="00E85FB3"/>
    <w:rsid w:val="00E90392"/>
    <w:rsid w:val="00E90845"/>
    <w:rsid w:val="00E92BF9"/>
    <w:rsid w:val="00E93F54"/>
    <w:rsid w:val="00E9615F"/>
    <w:rsid w:val="00E9625C"/>
    <w:rsid w:val="00EA220C"/>
    <w:rsid w:val="00EA629C"/>
    <w:rsid w:val="00EB6206"/>
    <w:rsid w:val="00EC0B65"/>
    <w:rsid w:val="00EC4675"/>
    <w:rsid w:val="00EC4B18"/>
    <w:rsid w:val="00EC6D08"/>
    <w:rsid w:val="00ED2DEC"/>
    <w:rsid w:val="00ED415E"/>
    <w:rsid w:val="00EE1CBC"/>
    <w:rsid w:val="00EE278C"/>
    <w:rsid w:val="00EE3142"/>
    <w:rsid w:val="00EE3962"/>
    <w:rsid w:val="00EE77AB"/>
    <w:rsid w:val="00EE78DA"/>
    <w:rsid w:val="00EF352D"/>
    <w:rsid w:val="00F012B6"/>
    <w:rsid w:val="00F01662"/>
    <w:rsid w:val="00F02B3B"/>
    <w:rsid w:val="00F1205E"/>
    <w:rsid w:val="00F139CB"/>
    <w:rsid w:val="00F17BF3"/>
    <w:rsid w:val="00F223BF"/>
    <w:rsid w:val="00F228BA"/>
    <w:rsid w:val="00F236C1"/>
    <w:rsid w:val="00F31DDC"/>
    <w:rsid w:val="00F31E85"/>
    <w:rsid w:val="00F440DF"/>
    <w:rsid w:val="00F44574"/>
    <w:rsid w:val="00F5602A"/>
    <w:rsid w:val="00F56481"/>
    <w:rsid w:val="00F6237F"/>
    <w:rsid w:val="00F6266C"/>
    <w:rsid w:val="00F63451"/>
    <w:rsid w:val="00F659A2"/>
    <w:rsid w:val="00F74E1D"/>
    <w:rsid w:val="00F758DD"/>
    <w:rsid w:val="00F75A87"/>
    <w:rsid w:val="00F76E10"/>
    <w:rsid w:val="00F82710"/>
    <w:rsid w:val="00F91D3C"/>
    <w:rsid w:val="00F92D4B"/>
    <w:rsid w:val="00F9597D"/>
    <w:rsid w:val="00F9743E"/>
    <w:rsid w:val="00FA0930"/>
    <w:rsid w:val="00FB19EA"/>
    <w:rsid w:val="00FB46F5"/>
    <w:rsid w:val="00FB747B"/>
    <w:rsid w:val="00FB7F9D"/>
    <w:rsid w:val="00FC1C8C"/>
    <w:rsid w:val="00FC2452"/>
    <w:rsid w:val="00FC47A0"/>
    <w:rsid w:val="00FC6FE1"/>
    <w:rsid w:val="00FD06B6"/>
    <w:rsid w:val="00FD5633"/>
    <w:rsid w:val="00FE7FF1"/>
    <w:rsid w:val="00FF62F3"/>
    <w:rsid w:val="00FF74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BCD52"/>
  <w15:docId w15:val="{B7F96BF0-00FA-4EE0-BFA5-F27AA4B9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tabs>
        <w:tab w:val="left" w:pos="567"/>
      </w:tabs>
      <w:spacing w:line="280" w:lineRule="atLeast"/>
      <w:ind w:left="720" w:hanging="720"/>
      <w:jc w:val="center"/>
      <w:outlineLvl w:val="0"/>
    </w:pPr>
    <w:rPr>
      <w:b/>
      <w:sz w:val="24"/>
      <w:u w:val="single"/>
    </w:rPr>
  </w:style>
  <w:style w:type="paragraph" w:styleId="2">
    <w:name w:val="heading 2"/>
    <w:basedOn w:val="a"/>
    <w:next w:val="a"/>
    <w:link w:val="20"/>
    <w:uiPriority w:val="9"/>
    <w:unhideWhenUsed/>
    <w:qFormat/>
    <w:rsid w:val="005963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563E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pPr>
      <w:spacing w:line="240" w:lineRule="atLeast"/>
      <w:ind w:left="720" w:hanging="720"/>
      <w:jc w:val="both"/>
    </w:pPr>
    <w:rPr>
      <w:rFonts w:ascii="CG Times (WN)" w:hAnsi="CG Times (WN)"/>
      <w:sz w:val="24"/>
    </w:rPr>
  </w:style>
  <w:style w:type="paragraph" w:styleId="22">
    <w:name w:val="Body Text Indent 2"/>
    <w:basedOn w:val="a"/>
    <w:pPr>
      <w:ind w:left="360"/>
      <w:jc w:val="both"/>
    </w:pPr>
    <w:rPr>
      <w:rFonts w:ascii="CG Times (WN)" w:hAnsi="CG Times (WN)"/>
      <w:sz w:val="24"/>
      <w:u w:val="single"/>
    </w:rPr>
  </w:style>
  <w:style w:type="paragraph" w:customStyle="1" w:styleId="BodyText1">
    <w:name w:val="Body Text1"/>
    <w:basedOn w:val="a"/>
    <w:pPr>
      <w:spacing w:after="280" w:line="280" w:lineRule="exact"/>
    </w:pPr>
    <w:rPr>
      <w:rFonts w:ascii="New York" w:hAnsi="New York"/>
      <w:sz w:val="18"/>
    </w:rPr>
  </w:style>
  <w:style w:type="paragraph" w:customStyle="1" w:styleId="Subhead">
    <w:name w:val="Subhead"/>
    <w:basedOn w:val="a"/>
    <w:pPr>
      <w:keepNext/>
      <w:tabs>
        <w:tab w:val="left" w:pos="340"/>
      </w:tabs>
      <w:spacing w:line="280" w:lineRule="exact"/>
    </w:pPr>
    <w:rPr>
      <w:rFonts w:ascii="New York" w:hAnsi="New York"/>
      <w:sz w:val="18"/>
    </w:rPr>
  </w:style>
  <w:style w:type="paragraph" w:customStyle="1" w:styleId="Bodyindent">
    <w:name w:val="Body indent"/>
    <w:basedOn w:val="Bodyspace"/>
    <w:pPr>
      <w:tabs>
        <w:tab w:val="left" w:pos="312"/>
        <w:tab w:val="left" w:pos="620"/>
      </w:tabs>
      <w:ind w:left="312" w:hanging="312"/>
    </w:pPr>
  </w:style>
  <w:style w:type="paragraph" w:customStyle="1" w:styleId="Bodyspace">
    <w:name w:val="Body + space"/>
    <w:basedOn w:val="BodyText1"/>
    <w:next w:val="Bodyindent"/>
  </w:style>
  <w:style w:type="paragraph" w:styleId="a3">
    <w:name w:val="header"/>
    <w:basedOn w:val="a"/>
    <w:pPr>
      <w:tabs>
        <w:tab w:val="center" w:pos="4819"/>
        <w:tab w:val="right" w:pos="9071"/>
      </w:tabs>
    </w:pPr>
    <w:rPr>
      <w:rFonts w:ascii="CG Times (E1)" w:hAnsi="CG Times (E1)"/>
      <w:noProof/>
      <w:sz w:val="24"/>
    </w:rPr>
  </w:style>
  <w:style w:type="paragraph" w:styleId="a4">
    <w:name w:val="footer"/>
    <w:basedOn w:val="a"/>
    <w:pPr>
      <w:tabs>
        <w:tab w:val="center" w:pos="4819"/>
        <w:tab w:val="right" w:pos="9071"/>
      </w:tabs>
    </w:pPr>
    <w:rPr>
      <w:rFonts w:ascii="CG Times (E1)" w:hAnsi="CG Times (E1)"/>
      <w:noProof/>
      <w:sz w:val="24"/>
    </w:rPr>
  </w:style>
  <w:style w:type="character" w:styleId="a5">
    <w:name w:val="page number"/>
    <w:basedOn w:val="a0"/>
  </w:style>
  <w:style w:type="paragraph" w:styleId="a6">
    <w:name w:val="Body Text"/>
    <w:basedOn w:val="a"/>
    <w:pPr>
      <w:tabs>
        <w:tab w:val="left" w:pos="567"/>
      </w:tabs>
      <w:spacing w:line="140" w:lineRule="atLeast"/>
      <w:jc w:val="both"/>
    </w:pPr>
    <w:rPr>
      <w:b/>
    </w:rPr>
  </w:style>
  <w:style w:type="paragraph" w:styleId="a7">
    <w:name w:val="Balloon Text"/>
    <w:basedOn w:val="a"/>
    <w:semiHidden/>
    <w:rsid w:val="001546F5"/>
    <w:rPr>
      <w:rFonts w:ascii="Tahoma" w:hAnsi="Tahoma" w:cs="Tahoma"/>
      <w:sz w:val="16"/>
      <w:szCs w:val="16"/>
    </w:rPr>
  </w:style>
  <w:style w:type="table" w:styleId="a8">
    <w:name w:val="Table Grid"/>
    <w:basedOn w:val="a1"/>
    <w:uiPriority w:val="59"/>
    <w:rsid w:val="0099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0F4AA7"/>
    <w:rPr>
      <w:color w:val="0000FF"/>
      <w:u w:val="single"/>
    </w:rPr>
  </w:style>
  <w:style w:type="paragraph" w:customStyle="1" w:styleId="CharChar">
    <w:name w:val="Char Char"/>
    <w:basedOn w:val="a"/>
    <w:rsid w:val="000E1A37"/>
    <w:pPr>
      <w:autoSpaceDE w:val="0"/>
      <w:autoSpaceDN w:val="0"/>
      <w:spacing w:after="160" w:line="240" w:lineRule="exact"/>
    </w:pPr>
    <w:rPr>
      <w:rFonts w:ascii="Arial" w:hAnsi="Arial" w:cs="Arial"/>
      <w:b/>
      <w:lang w:val="en-US" w:eastAsia="de-DE"/>
    </w:rPr>
  </w:style>
  <w:style w:type="character" w:styleId="aa">
    <w:name w:val="FollowedHyperlink"/>
    <w:rsid w:val="00D937AD"/>
    <w:rPr>
      <w:color w:val="800080"/>
      <w:u w:val="single"/>
    </w:rPr>
  </w:style>
  <w:style w:type="character" w:styleId="ab">
    <w:name w:val="annotation reference"/>
    <w:uiPriority w:val="99"/>
    <w:semiHidden/>
    <w:rsid w:val="00F01662"/>
    <w:rPr>
      <w:sz w:val="16"/>
      <w:szCs w:val="16"/>
    </w:rPr>
  </w:style>
  <w:style w:type="paragraph" w:styleId="ac">
    <w:name w:val="annotation text"/>
    <w:basedOn w:val="a"/>
    <w:link w:val="ad"/>
    <w:semiHidden/>
    <w:rsid w:val="00F01662"/>
  </w:style>
  <w:style w:type="paragraph" w:customStyle="1" w:styleId="CharChar0">
    <w:name w:val="Char Char"/>
    <w:basedOn w:val="a"/>
    <w:rsid w:val="00356238"/>
    <w:pPr>
      <w:autoSpaceDE w:val="0"/>
      <w:autoSpaceDN w:val="0"/>
      <w:spacing w:after="160" w:line="240" w:lineRule="exact"/>
    </w:pPr>
    <w:rPr>
      <w:rFonts w:ascii="Arial" w:hAnsi="Arial" w:cs="Arial"/>
      <w:b/>
      <w:lang w:val="en-US" w:eastAsia="de-DE"/>
    </w:rPr>
  </w:style>
  <w:style w:type="character" w:customStyle="1" w:styleId="20">
    <w:name w:val="Заголовок 2 Знак"/>
    <w:basedOn w:val="a0"/>
    <w:link w:val="2"/>
    <w:uiPriority w:val="9"/>
    <w:rsid w:val="00596352"/>
    <w:rPr>
      <w:rFonts w:asciiTheme="majorHAnsi" w:eastAsiaTheme="majorEastAsia" w:hAnsiTheme="majorHAnsi" w:cstheme="majorBidi"/>
      <w:b/>
      <w:bCs/>
      <w:color w:val="4F81BD" w:themeColor="accent1"/>
      <w:sz w:val="26"/>
      <w:szCs w:val="26"/>
    </w:rPr>
  </w:style>
  <w:style w:type="paragraph" w:styleId="ae">
    <w:name w:val="Normal (Web)"/>
    <w:basedOn w:val="a"/>
    <w:uiPriority w:val="99"/>
    <w:unhideWhenUsed/>
    <w:rsid w:val="00596352"/>
    <w:pPr>
      <w:spacing w:before="100" w:beforeAutospacing="1" w:after="100" w:afterAutospacing="1"/>
    </w:pPr>
    <w:rPr>
      <w:sz w:val="24"/>
      <w:szCs w:val="24"/>
    </w:rPr>
  </w:style>
  <w:style w:type="paragraph" w:styleId="af">
    <w:name w:val="List Paragraph"/>
    <w:basedOn w:val="a"/>
    <w:link w:val="af0"/>
    <w:qFormat/>
    <w:rsid w:val="00596352"/>
    <w:pPr>
      <w:ind w:left="720"/>
    </w:pPr>
    <w:rPr>
      <w:rFonts w:ascii="Calibri" w:eastAsia="Calibri" w:hAnsi="Calibri" w:cs="Calibri"/>
      <w:sz w:val="22"/>
      <w:szCs w:val="22"/>
      <w:lang w:eastAsia="en-US"/>
    </w:rPr>
  </w:style>
  <w:style w:type="paragraph" w:customStyle="1" w:styleId="CharCharCharCharCharCharCharCharCharCharCharCharCharChar">
    <w:name w:val="Знак Знак Char Char Char Char Знак Знак Знак Char Char Char Char Char Char Знак Знак Char Знак Знак Char Знак Знак Char Знак Знак Char Знак Знак"/>
    <w:basedOn w:val="a"/>
    <w:rsid w:val="00FB19EA"/>
    <w:pPr>
      <w:spacing w:after="160" w:line="240" w:lineRule="exact"/>
    </w:pPr>
    <w:rPr>
      <w:rFonts w:ascii="Tahoma" w:hAnsi="Tahoma"/>
      <w:lang w:val="en-US" w:eastAsia="en-US"/>
    </w:rPr>
  </w:style>
  <w:style w:type="paragraph" w:customStyle="1" w:styleId="CharCharCharCharCharCharCharCharCharCharChar">
    <w:name w:val="Char Char Char Char Char Char Char Char Char Char Char"/>
    <w:basedOn w:val="a"/>
    <w:rsid w:val="000B2A6A"/>
    <w:pPr>
      <w:spacing w:after="160" w:line="240" w:lineRule="exact"/>
    </w:pPr>
    <w:rPr>
      <w:rFonts w:ascii="Arial" w:hAnsi="Arial" w:cs="Arial"/>
      <w:lang w:val="en-US" w:eastAsia="en-US"/>
    </w:rPr>
  </w:style>
  <w:style w:type="character" w:customStyle="1" w:styleId="af0">
    <w:name w:val="Абзац списку Знак"/>
    <w:link w:val="af"/>
    <w:uiPriority w:val="34"/>
    <w:locked/>
    <w:rsid w:val="00A70274"/>
    <w:rPr>
      <w:rFonts w:ascii="Calibri" w:eastAsia="Calibri" w:hAnsi="Calibri" w:cs="Calibri"/>
      <w:sz w:val="22"/>
      <w:szCs w:val="22"/>
      <w:lang w:eastAsia="en-US"/>
    </w:rPr>
  </w:style>
  <w:style w:type="paragraph" w:customStyle="1" w:styleId="CharCharCharCharCharCharCharCharCharCharCharCharCharChar0">
    <w:name w:val="Знак Знак Char Char Char Char Знак Знак Знак Char Char Char Char Char Char Знак Знак Char Знак Знак Char Знак Знак Char Знак Знак Char Знак Знак"/>
    <w:basedOn w:val="a"/>
    <w:rsid w:val="00A6360E"/>
    <w:pPr>
      <w:spacing w:after="160" w:line="240" w:lineRule="exact"/>
    </w:pPr>
    <w:rPr>
      <w:rFonts w:ascii="Tahoma" w:hAnsi="Tahoma"/>
      <w:lang w:val="en-US" w:eastAsia="en-US"/>
    </w:rPr>
  </w:style>
  <w:style w:type="paragraph" w:customStyle="1" w:styleId="Default">
    <w:name w:val="Default"/>
    <w:rsid w:val="00AA3C3D"/>
    <w:pPr>
      <w:autoSpaceDE w:val="0"/>
      <w:autoSpaceDN w:val="0"/>
      <w:adjustRightInd w:val="0"/>
    </w:pPr>
    <w:rPr>
      <w:color w:val="000000"/>
      <w:sz w:val="24"/>
      <w:szCs w:val="24"/>
      <w:lang w:val="en-US" w:eastAsia="en-US"/>
    </w:rPr>
  </w:style>
  <w:style w:type="paragraph" w:styleId="af1">
    <w:name w:val="footnote text"/>
    <w:basedOn w:val="a"/>
    <w:link w:val="af2"/>
    <w:uiPriority w:val="99"/>
    <w:unhideWhenUsed/>
    <w:rsid w:val="00AA3C3D"/>
    <w:rPr>
      <w:sz w:val="24"/>
      <w:szCs w:val="24"/>
      <w:lang w:eastAsia="en-US"/>
    </w:rPr>
  </w:style>
  <w:style w:type="character" w:customStyle="1" w:styleId="af2">
    <w:name w:val="Текст виноски Знак"/>
    <w:basedOn w:val="a0"/>
    <w:link w:val="af1"/>
    <w:uiPriority w:val="99"/>
    <w:rsid w:val="00AA3C3D"/>
    <w:rPr>
      <w:sz w:val="24"/>
      <w:szCs w:val="24"/>
      <w:lang w:eastAsia="en-US"/>
    </w:rPr>
  </w:style>
  <w:style w:type="character" w:styleId="af3">
    <w:name w:val="footnote reference"/>
    <w:basedOn w:val="a0"/>
    <w:uiPriority w:val="99"/>
    <w:unhideWhenUsed/>
    <w:rsid w:val="00AA3C3D"/>
    <w:rPr>
      <w:vertAlign w:val="superscript"/>
    </w:rPr>
  </w:style>
  <w:style w:type="paragraph" w:styleId="af4">
    <w:name w:val="annotation subject"/>
    <w:basedOn w:val="ac"/>
    <w:next w:val="ac"/>
    <w:link w:val="af5"/>
    <w:uiPriority w:val="99"/>
    <w:semiHidden/>
    <w:unhideWhenUsed/>
    <w:rsid w:val="00B11ED3"/>
    <w:rPr>
      <w:b/>
      <w:bCs/>
    </w:rPr>
  </w:style>
  <w:style w:type="character" w:customStyle="1" w:styleId="ad">
    <w:name w:val="Текст примітки Знак"/>
    <w:basedOn w:val="a0"/>
    <w:link w:val="ac"/>
    <w:semiHidden/>
    <w:rsid w:val="00B11ED3"/>
  </w:style>
  <w:style w:type="character" w:customStyle="1" w:styleId="af5">
    <w:name w:val="Тема примітки Знак"/>
    <w:basedOn w:val="ad"/>
    <w:link w:val="af4"/>
    <w:uiPriority w:val="99"/>
    <w:semiHidden/>
    <w:rsid w:val="00B11ED3"/>
    <w:rPr>
      <w:b/>
      <w:bCs/>
    </w:rPr>
  </w:style>
  <w:style w:type="paragraph" w:styleId="af6">
    <w:name w:val="Revision"/>
    <w:hidden/>
    <w:uiPriority w:val="99"/>
    <w:semiHidden/>
    <w:rsid w:val="006510F1"/>
  </w:style>
  <w:style w:type="character" w:customStyle="1" w:styleId="40">
    <w:name w:val="Заголовок 4 Знак"/>
    <w:basedOn w:val="a0"/>
    <w:link w:val="4"/>
    <w:uiPriority w:val="9"/>
    <w:semiHidden/>
    <w:rsid w:val="001563E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3990">
      <w:bodyDiv w:val="1"/>
      <w:marLeft w:val="0"/>
      <w:marRight w:val="0"/>
      <w:marTop w:val="0"/>
      <w:marBottom w:val="0"/>
      <w:divBdr>
        <w:top w:val="none" w:sz="0" w:space="0" w:color="auto"/>
        <w:left w:val="none" w:sz="0" w:space="0" w:color="auto"/>
        <w:bottom w:val="none" w:sz="0" w:space="0" w:color="auto"/>
        <w:right w:val="none" w:sz="0" w:space="0" w:color="auto"/>
      </w:divBdr>
    </w:div>
    <w:div w:id="404030098">
      <w:bodyDiv w:val="1"/>
      <w:marLeft w:val="0"/>
      <w:marRight w:val="0"/>
      <w:marTop w:val="0"/>
      <w:marBottom w:val="0"/>
      <w:divBdr>
        <w:top w:val="none" w:sz="0" w:space="0" w:color="auto"/>
        <w:left w:val="none" w:sz="0" w:space="0" w:color="auto"/>
        <w:bottom w:val="none" w:sz="0" w:space="0" w:color="auto"/>
        <w:right w:val="none" w:sz="0" w:space="0" w:color="auto"/>
      </w:divBdr>
    </w:div>
    <w:div w:id="771364679">
      <w:bodyDiv w:val="1"/>
      <w:marLeft w:val="0"/>
      <w:marRight w:val="0"/>
      <w:marTop w:val="0"/>
      <w:marBottom w:val="0"/>
      <w:divBdr>
        <w:top w:val="none" w:sz="0" w:space="0" w:color="auto"/>
        <w:left w:val="none" w:sz="0" w:space="0" w:color="auto"/>
        <w:bottom w:val="none" w:sz="0" w:space="0" w:color="auto"/>
        <w:right w:val="none" w:sz="0" w:space="0" w:color="auto"/>
      </w:divBdr>
    </w:div>
    <w:div w:id="834495260">
      <w:bodyDiv w:val="1"/>
      <w:marLeft w:val="0"/>
      <w:marRight w:val="0"/>
      <w:marTop w:val="0"/>
      <w:marBottom w:val="0"/>
      <w:divBdr>
        <w:top w:val="none" w:sz="0" w:space="0" w:color="auto"/>
        <w:left w:val="none" w:sz="0" w:space="0" w:color="auto"/>
        <w:bottom w:val="none" w:sz="0" w:space="0" w:color="auto"/>
        <w:right w:val="none" w:sz="0" w:space="0" w:color="auto"/>
      </w:divBdr>
    </w:div>
    <w:div w:id="885526401">
      <w:bodyDiv w:val="1"/>
      <w:marLeft w:val="0"/>
      <w:marRight w:val="0"/>
      <w:marTop w:val="0"/>
      <w:marBottom w:val="0"/>
      <w:divBdr>
        <w:top w:val="none" w:sz="0" w:space="0" w:color="auto"/>
        <w:left w:val="none" w:sz="0" w:space="0" w:color="auto"/>
        <w:bottom w:val="none" w:sz="0" w:space="0" w:color="auto"/>
        <w:right w:val="none" w:sz="0" w:space="0" w:color="auto"/>
      </w:divBdr>
    </w:div>
    <w:div w:id="1503742589">
      <w:bodyDiv w:val="1"/>
      <w:marLeft w:val="0"/>
      <w:marRight w:val="0"/>
      <w:marTop w:val="0"/>
      <w:marBottom w:val="0"/>
      <w:divBdr>
        <w:top w:val="none" w:sz="0" w:space="0" w:color="auto"/>
        <w:left w:val="none" w:sz="0" w:space="0" w:color="auto"/>
        <w:bottom w:val="none" w:sz="0" w:space="0" w:color="auto"/>
        <w:right w:val="none" w:sz="0" w:space="0" w:color="auto"/>
      </w:divBdr>
    </w:div>
    <w:div w:id="1552881371">
      <w:bodyDiv w:val="1"/>
      <w:marLeft w:val="0"/>
      <w:marRight w:val="0"/>
      <w:marTop w:val="0"/>
      <w:marBottom w:val="0"/>
      <w:divBdr>
        <w:top w:val="none" w:sz="0" w:space="0" w:color="auto"/>
        <w:left w:val="none" w:sz="0" w:space="0" w:color="auto"/>
        <w:bottom w:val="none" w:sz="0" w:space="0" w:color="auto"/>
        <w:right w:val="none" w:sz="0" w:space="0" w:color="auto"/>
      </w:divBdr>
    </w:div>
    <w:div w:id="1803845259">
      <w:bodyDiv w:val="1"/>
      <w:marLeft w:val="0"/>
      <w:marRight w:val="0"/>
      <w:marTop w:val="0"/>
      <w:marBottom w:val="0"/>
      <w:divBdr>
        <w:top w:val="none" w:sz="0" w:space="0" w:color="auto"/>
        <w:left w:val="none" w:sz="0" w:space="0" w:color="auto"/>
        <w:bottom w:val="none" w:sz="0" w:space="0" w:color="auto"/>
        <w:right w:val="none" w:sz="0" w:space="0" w:color="auto"/>
      </w:divBdr>
    </w:div>
    <w:div w:id="1917935000">
      <w:bodyDiv w:val="1"/>
      <w:marLeft w:val="0"/>
      <w:marRight w:val="0"/>
      <w:marTop w:val="0"/>
      <w:marBottom w:val="0"/>
      <w:divBdr>
        <w:top w:val="none" w:sz="0" w:space="0" w:color="auto"/>
        <w:left w:val="none" w:sz="0" w:space="0" w:color="auto"/>
        <w:bottom w:val="none" w:sz="0" w:space="0" w:color="auto"/>
        <w:right w:val="none" w:sz="0" w:space="0" w:color="auto"/>
      </w:divBdr>
      <w:divsChild>
        <w:div w:id="5773973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1d45786f-a737-4735-8af6-df12fb6939a2" origin="userSelected"/>
</file>

<file path=customXml/itemProps1.xml><?xml version="1.0" encoding="utf-8"?>
<ds:datastoreItem xmlns:ds="http://schemas.openxmlformats.org/officeDocument/2006/customXml" ds:itemID="{48FFD3F7-BA5B-4824-A43A-B12F5F119E58}">
  <ds:schemaRefs>
    <ds:schemaRef ds:uri="http://schemas.openxmlformats.org/officeDocument/2006/bibliography"/>
  </ds:schemaRefs>
</ds:datastoreItem>
</file>

<file path=customXml/itemProps2.xml><?xml version="1.0" encoding="utf-8"?>
<ds:datastoreItem xmlns:ds="http://schemas.openxmlformats.org/officeDocument/2006/customXml" ds:itemID="{FA21D3DF-A2E2-41B6-95DA-722BED71821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8521</Words>
  <Characters>4858</Characters>
  <Application>Microsoft Office Word</Application>
  <DocSecurity>0</DocSecurity>
  <Lines>40</Lines>
  <Paragraphs>26</Paragraphs>
  <ScaleCrop>false</ScaleCrop>
  <HeadingPairs>
    <vt:vector size="8" baseType="variant">
      <vt:variant>
        <vt:lpstr>Назва</vt:lpstr>
      </vt:variant>
      <vt:variant>
        <vt:i4>1</vt:i4>
      </vt:variant>
      <vt:variant>
        <vt:lpstr>Title</vt:lpstr>
      </vt:variant>
      <vt:variant>
        <vt:i4>1</vt:i4>
      </vt:variant>
      <vt:variant>
        <vt:lpstr>Headings</vt:lpstr>
      </vt:variant>
      <vt:variant>
        <vt:i4>4</vt:i4>
      </vt:variant>
      <vt:variant>
        <vt:lpstr>Название</vt:lpstr>
      </vt:variant>
      <vt:variant>
        <vt:i4>1</vt:i4>
      </vt:variant>
    </vt:vector>
  </HeadingPairs>
  <TitlesOfParts>
    <vt:vector size="7" baseType="lpstr">
      <vt:lpstr>[contact_name]</vt:lpstr>
      <vt:lpstr>[contact_name]</vt:lpstr>
      <vt:lpstr>    ЗАГАЛЬНА ІНФОРМАЦІЯ</vt:lpstr>
      <vt:lpstr>    МЕТА</vt:lpstr>
      <vt:lpstr>    ДЕТАЛІ ЗАКУПІВЛІ</vt:lpstr>
      <vt:lpstr>    УМОВИ РОБОТИ</vt:lpstr>
      <vt:lpstr>[contact_name]</vt:lpstr>
    </vt:vector>
  </TitlesOfParts>
  <Company>EBRD</Company>
  <LinksUpToDate>false</LinksUpToDate>
  <CharactersWithSpaces>13353</CharactersWithSpaces>
  <SharedDoc>false</SharedDoc>
  <HLinks>
    <vt:vector size="36" baseType="variant">
      <vt:variant>
        <vt:i4>4325496</vt:i4>
      </vt:variant>
      <vt:variant>
        <vt:i4>27</vt:i4>
      </vt:variant>
      <vt:variant>
        <vt:i4>0</vt:i4>
      </vt:variant>
      <vt:variant>
        <vt:i4>5</vt:i4>
      </vt:variant>
      <vt:variant>
        <vt:lpwstr>mailto:cstripadvisary@ebrd.com</vt:lpwstr>
      </vt:variant>
      <vt:variant>
        <vt:lpwstr/>
      </vt:variant>
      <vt:variant>
        <vt:i4>4325496</vt:i4>
      </vt:variant>
      <vt:variant>
        <vt:i4>24</vt:i4>
      </vt:variant>
      <vt:variant>
        <vt:i4>0</vt:i4>
      </vt:variant>
      <vt:variant>
        <vt:i4>5</vt:i4>
      </vt:variant>
      <vt:variant>
        <vt:lpwstr>mailto:cstripadvisary@ebrd.com</vt:lpwstr>
      </vt:variant>
      <vt:variant>
        <vt:lpwstr/>
      </vt:variant>
      <vt:variant>
        <vt:i4>2555940</vt:i4>
      </vt:variant>
      <vt:variant>
        <vt:i4>21</vt:i4>
      </vt:variant>
      <vt:variant>
        <vt:i4>0</vt:i4>
      </vt:variant>
      <vt:variant>
        <vt:i4>5</vt:i4>
      </vt:variant>
      <vt:variant>
        <vt:lpwstr>http://www.ebrd.com/downloads/forms/untrip-profile-for-consultants.doc</vt:lpwstr>
      </vt:variant>
      <vt:variant>
        <vt:lpwstr/>
      </vt:variant>
      <vt:variant>
        <vt:i4>2097274</vt:i4>
      </vt:variant>
      <vt:variant>
        <vt:i4>18</vt:i4>
      </vt:variant>
      <vt:variant>
        <vt:i4>0</vt:i4>
      </vt:variant>
      <vt:variant>
        <vt:i4>5</vt:i4>
      </vt:variant>
      <vt:variant>
        <vt:lpwstr>http://www.ebrd.com/downloads/about/secpol.pdf</vt:lpwstr>
      </vt:variant>
      <vt:variant>
        <vt:lpwstr/>
      </vt:variant>
      <vt:variant>
        <vt:i4>3145832</vt:i4>
      </vt:variant>
      <vt:variant>
        <vt:i4>15</vt:i4>
      </vt:variant>
      <vt:variant>
        <vt:i4>0</vt:i4>
      </vt:variant>
      <vt:variant>
        <vt:i4>5</vt:i4>
      </vt:variant>
      <vt:variant>
        <vt:lpwstr>http://ec.europa.eu/europeaid/work/procedures/implementation/per_diems/documents/perdiems_201207.pdf</vt:lpwstr>
      </vt:variant>
      <vt:variant>
        <vt:lpwstr/>
      </vt:variant>
      <vt:variant>
        <vt:i4>6160406</vt:i4>
      </vt:variant>
      <vt:variant>
        <vt:i4>12</vt:i4>
      </vt:variant>
      <vt:variant>
        <vt:i4>0</vt:i4>
      </vt:variant>
      <vt:variant>
        <vt:i4>5</vt:i4>
      </vt:variant>
      <vt:variant>
        <vt:lpwstr>http://ec.europa.eu/europeaid/work/visibility/documents/communication_and_visibility_manual_en.pdf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[contact_name]</dc:title>
  <dc:creator>Matushina, Marina</dc:creator>
  <cp:keywords>[EBRD]</cp:keywords>
  <cp:lastModifiedBy>Oleksandr Popov</cp:lastModifiedBy>
  <cp:revision>10</cp:revision>
  <cp:lastPrinted>2013-02-21T10:40:00Z</cp:lastPrinted>
  <dcterms:created xsi:type="dcterms:W3CDTF">2026-06-23T05:54:00Z</dcterms:created>
  <dcterms:modified xsi:type="dcterms:W3CDTF">2026-06-26T12:05:00Z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9c08a519-02b7-40b6-a3fc-d4b3582b4800</vt:lpwstr>
  </property>
  <property fmtid="{D5CDD505-2E9C-101B-9397-08002B2CF9AE}" pid="3" name="bjSaver">
    <vt:lpwstr>1nSL+WzZKvkRvwO90B+0gLIrS7YCJt0u</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ies>
</file>